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C923E">
      <w:pPr>
        <w:pStyle w:val="50"/>
        <w:widowControl w:val="0"/>
        <w:spacing w:before="0" w:after="0"/>
        <w:ind w:firstLine="0"/>
        <w:rPr>
          <w:rFonts w:ascii="Times New Roman" w:hAnsi="Times New Roman" w:eastAsia="黑体" w:cs="Times New Roman"/>
          <w:color w:val="000000" w:themeColor="text1"/>
          <w14:textFill>
            <w14:solidFill>
              <w14:schemeClr w14:val="tx1"/>
            </w14:solidFill>
          </w14:textFill>
        </w:rPr>
      </w:pPr>
    </w:p>
    <w:p w14:paraId="73E36773">
      <w:pPr>
        <w:pStyle w:val="50"/>
        <w:widowControl w:val="0"/>
        <w:spacing w:before="0" w:after="0"/>
        <w:ind w:firstLine="0"/>
        <w:rPr>
          <w:rFonts w:ascii="Times New Roman" w:hAnsi="Times New Roman" w:eastAsia="黑体" w:cs="Times New Roman"/>
          <w:color w:val="000000" w:themeColor="text1"/>
          <w14:textFill>
            <w14:solidFill>
              <w14:schemeClr w14:val="tx1"/>
            </w14:solidFill>
          </w14:textFill>
        </w:rPr>
      </w:pPr>
    </w:p>
    <w:p w14:paraId="0BD1918D">
      <w:pPr>
        <w:pStyle w:val="50"/>
        <w:widowControl w:val="0"/>
        <w:ind w:firstLine="0"/>
        <w:jc w:val="center"/>
        <w:rPr>
          <w:rFonts w:ascii="Times New Roman" w:hAnsi="Times New Roman" w:eastAsia="黑体" w:cs="Times New Roman"/>
          <w:bCs/>
          <w:color w:val="000000" w:themeColor="text1"/>
          <w:sz w:val="84"/>
          <w14:textFill>
            <w14:solidFill>
              <w14:schemeClr w14:val="tx1"/>
            </w14:solidFill>
          </w14:textFill>
        </w:rPr>
      </w:pPr>
    </w:p>
    <w:p w14:paraId="5A8B5065">
      <w:pPr>
        <w:pStyle w:val="50"/>
        <w:widowControl w:val="0"/>
        <w:ind w:firstLine="0"/>
        <w:jc w:val="center"/>
        <w:rPr>
          <w:rFonts w:ascii="Times New Roman" w:hAnsi="Times New Roman" w:eastAsia="黑体" w:cs="Times New Roman"/>
          <w:bCs/>
          <w:color w:val="000000" w:themeColor="text1"/>
          <w:sz w:val="84"/>
          <w14:textFill>
            <w14:solidFill>
              <w14:schemeClr w14:val="tx1"/>
            </w14:solidFill>
          </w14:textFill>
        </w:rPr>
      </w:pPr>
    </w:p>
    <w:p w14:paraId="26724C9A">
      <w:pPr>
        <w:pStyle w:val="50"/>
        <w:widowControl w:val="0"/>
        <w:ind w:firstLine="0"/>
        <w:jc w:val="center"/>
        <w:rPr>
          <w:rFonts w:ascii="Times New Roman" w:hAnsi="Times New Roman" w:eastAsia="黑体" w:cs="Times New Roman"/>
          <w:bCs/>
          <w:color w:val="000000" w:themeColor="text1"/>
          <w:sz w:val="84"/>
          <w14:textFill>
            <w14:solidFill>
              <w14:schemeClr w14:val="tx1"/>
            </w14:solidFill>
          </w14:textFill>
        </w:rPr>
      </w:pPr>
      <w:bookmarkStart w:id="0" w:name="_Hlk116998596"/>
      <w:r>
        <w:rPr>
          <w:rFonts w:ascii="Times New Roman" w:hAnsi="Times New Roman" w:eastAsia="黑体" w:cs="Times New Roman"/>
          <w:bCs/>
          <w:color w:val="000000" w:themeColor="text1"/>
          <w:sz w:val="84"/>
          <w14:textFill>
            <w14:solidFill>
              <w14:schemeClr w14:val="tx1"/>
            </w14:solidFill>
          </w14:textFill>
        </w:rPr>
        <w:t>招 标 文 件</w:t>
      </w:r>
    </w:p>
    <w:p w14:paraId="23618ED4">
      <w:pPr>
        <w:pStyle w:val="50"/>
        <w:widowControl w:val="0"/>
        <w:ind w:firstLine="0"/>
        <w:jc w:val="center"/>
        <w:rPr>
          <w:rFonts w:ascii="Times New Roman" w:hAnsi="Times New Roman" w:eastAsia="黑体" w:cs="Times New Roman"/>
          <w:bCs/>
          <w:color w:val="000000" w:themeColor="text1"/>
          <w:sz w:val="32"/>
          <w14:textFill>
            <w14:solidFill>
              <w14:schemeClr w14:val="tx1"/>
            </w14:solidFill>
          </w14:textFill>
        </w:rPr>
      </w:pPr>
    </w:p>
    <w:p w14:paraId="2E7A639D">
      <w:pPr>
        <w:pStyle w:val="50"/>
        <w:widowControl w:val="0"/>
        <w:ind w:firstLine="0"/>
        <w:jc w:val="center"/>
        <w:rPr>
          <w:rFonts w:cs="Times New Roman" w:asciiTheme="minorEastAsia" w:hAnsiTheme="minorEastAsia" w:eastAsiaTheme="minorEastAsia"/>
          <w:b/>
          <w:color w:val="000000" w:themeColor="text1"/>
          <w:sz w:val="36"/>
          <w:szCs w:val="36"/>
          <w14:textFill>
            <w14:solidFill>
              <w14:schemeClr w14:val="tx1"/>
            </w14:solidFill>
          </w14:textFill>
        </w:rPr>
      </w:pPr>
      <w:r>
        <w:rPr>
          <w:rFonts w:cs="Times New Roman" w:asciiTheme="minorEastAsia" w:hAnsiTheme="minorEastAsia" w:eastAsiaTheme="minorEastAsia"/>
          <w:b/>
          <w:color w:val="000000" w:themeColor="text1"/>
          <w:sz w:val="36"/>
          <w:szCs w:val="36"/>
          <w14:textFill>
            <w14:solidFill>
              <w14:schemeClr w14:val="tx1"/>
            </w14:solidFill>
          </w14:textFill>
        </w:rPr>
        <w:t>项目名称：</w:t>
      </w:r>
      <w:r>
        <w:rPr>
          <w:rFonts w:hint="eastAsia" w:cs="Times New Roman" w:asciiTheme="minorEastAsia" w:hAnsiTheme="minorEastAsia" w:eastAsiaTheme="minorEastAsia"/>
          <w:b/>
          <w:color w:val="000000" w:themeColor="text1"/>
          <w:sz w:val="36"/>
          <w:szCs w:val="36"/>
          <w14:textFill>
            <w14:solidFill>
              <w14:schemeClr w14:val="tx1"/>
            </w14:solidFill>
          </w14:textFill>
        </w:rPr>
        <w:t>南京机电职业技术学院医务室第三方托管服务项目</w:t>
      </w:r>
    </w:p>
    <w:p w14:paraId="0130FC29">
      <w:pPr>
        <w:pStyle w:val="50"/>
        <w:widowControl w:val="0"/>
        <w:ind w:left="0" w:leftChars="0" w:firstLine="0" w:firstLineChars="0"/>
        <w:jc w:val="center"/>
        <w:rPr>
          <w:rFonts w:hint="eastAsia" w:ascii="Times New Roman" w:hAnsi="Times New Roman" w:eastAsia="黑体" w:cs="Times New Roman"/>
          <w:color w:val="000000" w:themeColor="text1"/>
          <w:sz w:val="36"/>
          <w:szCs w:val="36"/>
          <w:lang w:val="en-US" w:eastAsia="zh-CN"/>
          <w14:textFill>
            <w14:solidFill>
              <w14:schemeClr w14:val="tx1"/>
            </w14:solidFill>
          </w14:textFill>
        </w:rPr>
      </w:pPr>
      <w:r>
        <w:rPr>
          <w:rFonts w:ascii="Times New Roman" w:hAnsi="Times New Roman" w:eastAsia="黑体" w:cs="Times New Roman"/>
          <w:color w:val="000000" w:themeColor="text1"/>
          <w:sz w:val="36"/>
          <w:szCs w:val="36"/>
          <w14:textFill>
            <w14:solidFill>
              <w14:schemeClr w14:val="tx1"/>
            </w14:solidFill>
          </w14:textFill>
        </w:rPr>
        <w:t>项目编号：</w:t>
      </w:r>
      <w:r>
        <w:rPr>
          <w:rFonts w:hint="eastAsia" w:ascii="Times New Roman" w:hAnsi="Times New Roman" w:eastAsia="黑体" w:cs="Times New Roman"/>
          <w:color w:val="000000" w:themeColor="text1"/>
          <w:sz w:val="36"/>
          <w:szCs w:val="36"/>
          <w14:textFill>
            <w14:solidFill>
              <w14:schemeClr w14:val="tx1"/>
            </w14:solidFill>
          </w14:textFill>
        </w:rPr>
        <w:t>JSZC-320100-ZTZB-G2026-002</w:t>
      </w:r>
      <w:r>
        <w:rPr>
          <w:rFonts w:hint="eastAsia" w:ascii="Times New Roman" w:hAnsi="Times New Roman" w:eastAsia="黑体" w:cs="Times New Roman"/>
          <w:color w:val="000000" w:themeColor="text1"/>
          <w:sz w:val="36"/>
          <w:szCs w:val="36"/>
          <w:lang w:val="en-US" w:eastAsia="zh-CN"/>
          <w14:textFill>
            <w14:solidFill>
              <w14:schemeClr w14:val="tx1"/>
            </w14:solidFill>
          </w14:textFill>
        </w:rPr>
        <w:t>1</w:t>
      </w:r>
      <w:r>
        <w:rPr>
          <w:rFonts w:hint="eastAsia" w:ascii="Times New Roman" w:hAnsi="Times New Roman" w:eastAsia="黑体" w:cs="Times New Roman"/>
          <w:color w:val="000000" w:themeColor="text1"/>
          <w:sz w:val="36"/>
          <w:szCs w:val="36"/>
          <w:lang w:eastAsia="zh-CN"/>
          <w14:textFill>
            <w14:solidFill>
              <w14:schemeClr w14:val="tx1"/>
            </w14:solidFill>
          </w14:textFill>
        </w:rPr>
        <w:t>（</w:t>
      </w:r>
      <w:r>
        <w:rPr>
          <w:rFonts w:hint="eastAsia" w:ascii="Times New Roman" w:hAnsi="Times New Roman" w:eastAsia="黑体" w:cs="Times New Roman"/>
          <w:color w:val="000000" w:themeColor="text1"/>
          <w:sz w:val="36"/>
          <w:szCs w:val="36"/>
          <w14:textFill>
            <w14:solidFill>
              <w14:schemeClr w14:val="tx1"/>
            </w14:solidFill>
          </w14:textFill>
        </w:rPr>
        <w:t>NIMT-</w:t>
      </w:r>
      <w:r>
        <w:rPr>
          <w:rFonts w:hint="eastAsia" w:ascii="Times New Roman" w:hAnsi="Times New Roman" w:eastAsia="黑体" w:cs="Times New Roman"/>
          <w:color w:val="000000" w:themeColor="text1"/>
          <w:sz w:val="36"/>
          <w:szCs w:val="36"/>
          <w:lang w:val="en-US" w:eastAsia="zh-CN"/>
          <w14:textFill>
            <w14:solidFill>
              <w14:schemeClr w14:val="tx1"/>
            </w14:solidFill>
          </w14:textFill>
        </w:rPr>
        <w:t>ZB</w:t>
      </w:r>
      <w:r>
        <w:rPr>
          <w:rFonts w:hint="eastAsia" w:ascii="Times New Roman" w:hAnsi="Times New Roman" w:eastAsia="黑体" w:cs="Times New Roman"/>
          <w:color w:val="000000" w:themeColor="text1"/>
          <w:sz w:val="36"/>
          <w:szCs w:val="36"/>
          <w14:textFill>
            <w14:solidFill>
              <w14:schemeClr w14:val="tx1"/>
            </w14:solidFill>
          </w14:textFill>
        </w:rPr>
        <w:t>-2026001</w:t>
      </w:r>
      <w:r>
        <w:rPr>
          <w:rFonts w:hint="eastAsia" w:ascii="Times New Roman" w:hAnsi="Times New Roman" w:eastAsia="黑体" w:cs="Times New Roman"/>
          <w:color w:val="000000" w:themeColor="text1"/>
          <w:sz w:val="36"/>
          <w:szCs w:val="36"/>
          <w:lang w:eastAsia="zh-CN"/>
          <w14:textFill>
            <w14:solidFill>
              <w14:schemeClr w14:val="tx1"/>
            </w14:solidFill>
          </w14:textFill>
        </w:rPr>
        <w:t>）</w:t>
      </w:r>
    </w:p>
    <w:p w14:paraId="58BB69F0">
      <w:pPr>
        <w:pStyle w:val="50"/>
        <w:widowControl w:val="0"/>
        <w:spacing w:before="0" w:after="0"/>
        <w:ind w:firstLine="0"/>
        <w:rPr>
          <w:rFonts w:ascii="Times New Roman" w:hAnsi="Times New Roman" w:eastAsia="黑体" w:cs="Times New Roman"/>
          <w:color w:val="000000" w:themeColor="text1"/>
          <w14:textFill>
            <w14:solidFill>
              <w14:schemeClr w14:val="tx1"/>
            </w14:solidFill>
          </w14:textFill>
        </w:rPr>
      </w:pPr>
    </w:p>
    <w:p w14:paraId="4E76B109">
      <w:pPr>
        <w:pStyle w:val="50"/>
        <w:widowControl w:val="0"/>
        <w:spacing w:before="0" w:after="0"/>
        <w:ind w:firstLine="0"/>
        <w:rPr>
          <w:rFonts w:ascii="Times New Roman" w:hAnsi="Times New Roman" w:eastAsia="黑体" w:cs="Times New Roman"/>
          <w:color w:val="000000" w:themeColor="text1"/>
          <w14:textFill>
            <w14:solidFill>
              <w14:schemeClr w14:val="tx1"/>
            </w14:solidFill>
          </w14:textFill>
        </w:rPr>
      </w:pPr>
    </w:p>
    <w:p w14:paraId="0B84BF92">
      <w:pPr>
        <w:pStyle w:val="50"/>
        <w:widowControl w:val="0"/>
        <w:spacing w:before="0" w:after="0"/>
        <w:ind w:firstLine="0"/>
        <w:rPr>
          <w:rFonts w:ascii="Times New Roman" w:hAnsi="Times New Roman" w:eastAsia="黑体" w:cs="Times New Roman"/>
          <w:color w:val="000000" w:themeColor="text1"/>
          <w14:textFill>
            <w14:solidFill>
              <w14:schemeClr w14:val="tx1"/>
            </w14:solidFill>
          </w14:textFill>
        </w:rPr>
      </w:pPr>
    </w:p>
    <w:p w14:paraId="0468117D">
      <w:pPr>
        <w:pStyle w:val="50"/>
        <w:widowControl w:val="0"/>
        <w:spacing w:before="0" w:after="0"/>
        <w:ind w:firstLine="0"/>
        <w:rPr>
          <w:rFonts w:ascii="Times New Roman" w:hAnsi="Times New Roman" w:eastAsia="黑体" w:cs="Times New Roman"/>
          <w:color w:val="000000" w:themeColor="text1"/>
          <w14:textFill>
            <w14:solidFill>
              <w14:schemeClr w14:val="tx1"/>
            </w14:solidFill>
          </w14:textFill>
        </w:rPr>
      </w:pPr>
    </w:p>
    <w:p w14:paraId="49A2DB9B">
      <w:pPr>
        <w:pStyle w:val="50"/>
        <w:widowControl w:val="0"/>
        <w:spacing w:before="0" w:after="0"/>
        <w:ind w:firstLine="0"/>
        <w:rPr>
          <w:rFonts w:ascii="Times New Roman" w:hAnsi="Times New Roman" w:eastAsia="黑体" w:cs="Times New Roman"/>
          <w:color w:val="000000" w:themeColor="text1"/>
          <w14:textFill>
            <w14:solidFill>
              <w14:schemeClr w14:val="tx1"/>
            </w14:solidFill>
          </w14:textFill>
        </w:rPr>
      </w:pPr>
    </w:p>
    <w:p w14:paraId="25EC439C">
      <w:pPr>
        <w:pStyle w:val="50"/>
        <w:widowControl w:val="0"/>
        <w:spacing w:before="0" w:after="0"/>
        <w:ind w:firstLine="0"/>
        <w:rPr>
          <w:rFonts w:ascii="Times New Roman" w:hAnsi="Times New Roman" w:eastAsia="黑体" w:cs="Times New Roman"/>
          <w:color w:val="000000" w:themeColor="text1"/>
          <w14:textFill>
            <w14:solidFill>
              <w14:schemeClr w14:val="tx1"/>
            </w14:solidFill>
          </w14:textFill>
        </w:rPr>
      </w:pPr>
    </w:p>
    <w:p w14:paraId="682BF147">
      <w:pPr>
        <w:pStyle w:val="50"/>
        <w:widowControl w:val="0"/>
        <w:spacing w:before="0" w:after="0"/>
        <w:ind w:firstLine="0"/>
        <w:rPr>
          <w:rFonts w:ascii="Times New Roman" w:hAnsi="Times New Roman" w:eastAsia="黑体" w:cs="Times New Roman"/>
          <w:color w:val="000000" w:themeColor="text1"/>
          <w14:textFill>
            <w14:solidFill>
              <w14:schemeClr w14:val="tx1"/>
            </w14:solidFill>
          </w14:textFill>
        </w:rPr>
      </w:pPr>
    </w:p>
    <w:p w14:paraId="47E02E7B">
      <w:pPr>
        <w:pStyle w:val="50"/>
        <w:widowControl w:val="0"/>
        <w:spacing w:before="0" w:after="0"/>
        <w:ind w:firstLine="0"/>
        <w:jc w:val="center"/>
        <w:rPr>
          <w:rFonts w:ascii="Times New Roman" w:hAnsi="Times New Roman" w:eastAsia="黑体" w:cs="Times New Roman"/>
          <w:color w:val="000000" w:themeColor="text1"/>
          <w:sz w:val="30"/>
          <w:szCs w:val="30"/>
          <w14:textFill>
            <w14:solidFill>
              <w14:schemeClr w14:val="tx1"/>
            </w14:solidFill>
          </w14:textFill>
        </w:rPr>
      </w:pPr>
      <w:r>
        <w:rPr>
          <w:rFonts w:ascii="Times New Roman" w:hAnsi="Times New Roman" w:eastAsia="黑体" w:cs="Times New Roman"/>
          <w:color w:val="000000" w:themeColor="text1"/>
          <w:sz w:val="30"/>
          <w:szCs w:val="30"/>
          <w14:textFill>
            <w14:solidFill>
              <w14:schemeClr w14:val="tx1"/>
            </w14:solidFill>
          </w14:textFill>
        </w:rPr>
        <w:t>招标人：</w:t>
      </w:r>
      <w:r>
        <w:rPr>
          <w:rFonts w:hint="eastAsia" w:ascii="Times New Roman" w:hAnsi="Times New Roman" w:eastAsia="黑体" w:cs="Times New Roman"/>
          <w:color w:val="000000" w:themeColor="text1"/>
          <w:sz w:val="30"/>
          <w:szCs w:val="30"/>
          <w14:textFill>
            <w14:solidFill>
              <w14:schemeClr w14:val="tx1"/>
            </w14:solidFill>
          </w14:textFill>
        </w:rPr>
        <w:t>南京机电职业技术学院</w:t>
      </w:r>
    </w:p>
    <w:p w14:paraId="091007F9">
      <w:pPr>
        <w:pStyle w:val="50"/>
        <w:widowControl w:val="0"/>
        <w:spacing w:before="0" w:after="0"/>
        <w:ind w:firstLine="0"/>
        <w:jc w:val="center"/>
        <w:rPr>
          <w:rFonts w:ascii="Times New Roman" w:hAnsi="Times New Roman" w:eastAsia="黑体" w:cs="Times New Roman"/>
          <w:color w:val="000000" w:themeColor="text1"/>
          <w:sz w:val="30"/>
          <w:szCs w:val="30"/>
          <w14:textFill>
            <w14:solidFill>
              <w14:schemeClr w14:val="tx1"/>
            </w14:solidFill>
          </w14:textFill>
        </w:rPr>
      </w:pPr>
      <w:r>
        <w:rPr>
          <w:rFonts w:ascii="Times New Roman" w:hAnsi="Times New Roman" w:eastAsia="黑体" w:cs="Times New Roman"/>
          <w:color w:val="000000" w:themeColor="text1"/>
          <w:sz w:val="30"/>
          <w:szCs w:val="30"/>
          <w14:textFill>
            <w14:solidFill>
              <w14:schemeClr w14:val="tx1"/>
            </w14:solidFill>
          </w14:textFill>
        </w:rPr>
        <w:t>招标代理机构：中通服咨询设计研究院有限公司</w:t>
      </w:r>
    </w:p>
    <w:p w14:paraId="799260DF">
      <w:pPr>
        <w:pStyle w:val="50"/>
        <w:jc w:val="center"/>
        <w:rPr>
          <w:color w:val="000000" w:themeColor="text1"/>
          <w14:textFill>
            <w14:solidFill>
              <w14:schemeClr w14:val="tx1"/>
            </w14:solidFill>
          </w14:textFill>
        </w:rPr>
        <w:sectPr>
          <w:headerReference r:id="rId4" w:type="first"/>
          <w:headerReference r:id="rId3" w:type="default"/>
          <w:pgSz w:w="11906" w:h="16838"/>
          <w:pgMar w:top="1418" w:right="1418" w:bottom="1418" w:left="1701" w:header="851" w:footer="992" w:gutter="0"/>
          <w:cols w:space="425" w:num="1"/>
          <w:docGrid w:type="lines" w:linePitch="312" w:charSpace="0"/>
        </w:sectPr>
      </w:pPr>
      <w:r>
        <w:rPr>
          <w:rFonts w:hint="eastAsia" w:ascii="Times New Roman" w:hAnsi="Times New Roman" w:eastAsia="黑体" w:cs="Times New Roman"/>
          <w:color w:val="000000" w:themeColor="text1"/>
          <w:sz w:val="30"/>
          <w:szCs w:val="30"/>
          <w14:textFill>
            <w14:solidFill>
              <w14:schemeClr w14:val="tx1"/>
            </w14:solidFill>
          </w14:textFill>
        </w:rPr>
        <w:t>2026</w:t>
      </w:r>
      <w:r>
        <w:rPr>
          <w:rFonts w:ascii="Times New Roman" w:hAnsi="Times New Roman" w:eastAsia="黑体" w:cs="Times New Roman"/>
          <w:color w:val="000000" w:themeColor="text1"/>
          <w:sz w:val="30"/>
          <w:szCs w:val="30"/>
          <w14:textFill>
            <w14:solidFill>
              <w14:schemeClr w14:val="tx1"/>
            </w14:solidFill>
          </w14:textFill>
        </w:rPr>
        <w:t>年</w:t>
      </w:r>
      <w:r>
        <w:rPr>
          <w:rFonts w:hint="eastAsia" w:ascii="Times New Roman" w:hAnsi="Times New Roman" w:eastAsia="黑体" w:cs="Times New Roman"/>
          <w:color w:val="000000" w:themeColor="text1"/>
          <w:sz w:val="30"/>
          <w:szCs w:val="30"/>
          <w:lang w:val="en-US" w:eastAsia="zh-CN"/>
          <w14:textFill>
            <w14:solidFill>
              <w14:schemeClr w14:val="tx1"/>
            </w14:solidFill>
          </w14:textFill>
        </w:rPr>
        <w:t>5</w:t>
      </w:r>
      <w:r>
        <w:rPr>
          <w:rFonts w:ascii="Times New Roman" w:hAnsi="Times New Roman" w:eastAsia="黑体" w:cs="Times New Roman"/>
          <w:color w:val="000000" w:themeColor="text1"/>
          <w:sz w:val="30"/>
          <w:szCs w:val="30"/>
          <w14:textFill>
            <w14:solidFill>
              <w14:schemeClr w14:val="tx1"/>
            </w14:solidFill>
          </w14:textFill>
        </w:rPr>
        <w:t>月</w:t>
      </w:r>
    </w:p>
    <w:p w14:paraId="55000663">
      <w:pPr>
        <w:spacing w:before="312" w:beforeLines="100" w:after="312" w:afterLines="100" w:line="360" w:lineRule="auto"/>
        <w:jc w:val="center"/>
        <w:rPr>
          <w:rFonts w:ascii="黑体" w:hAnsi="黑体" w:eastAsia="黑体"/>
          <w:color w:val="000000" w:themeColor="text1"/>
          <w:sz w:val="36"/>
          <w:szCs w:val="36"/>
          <w14:textFill>
            <w14:solidFill>
              <w14:schemeClr w14:val="tx1"/>
            </w14:solidFill>
          </w14:textFill>
        </w:rPr>
      </w:pPr>
      <w:r>
        <w:rPr>
          <w:rFonts w:hint="eastAsia" w:ascii="黑体" w:hAnsi="黑体" w:eastAsia="黑体"/>
          <w:color w:val="000000" w:themeColor="text1"/>
          <w:sz w:val="36"/>
          <w:szCs w:val="36"/>
          <w14:textFill>
            <w14:solidFill>
              <w14:schemeClr w14:val="tx1"/>
            </w14:solidFill>
          </w14:textFill>
        </w:rPr>
        <w:t>目  录</w:t>
      </w:r>
    </w:p>
    <w:sdt>
      <w:sdtPr>
        <w:rPr>
          <w:rFonts w:asciiTheme="majorHAnsi" w:hAnsiTheme="majorHAnsi" w:eastAsiaTheme="majorEastAsia" w:cstheme="majorBidi"/>
          <w:color w:val="000000" w:themeColor="text1"/>
          <w:sz w:val="32"/>
          <w:szCs w:val="32"/>
          <w:lang w:val="zh-CN"/>
          <w14:textFill>
            <w14:solidFill>
              <w14:schemeClr w14:val="tx1"/>
            </w14:solidFill>
          </w14:textFill>
        </w:rPr>
        <w:id w:val="139459551"/>
      </w:sdtPr>
      <w:sdtEndPr>
        <w:rPr>
          <w:rFonts w:ascii="Times New Roman" w:hAnsi="Times New Roman" w:eastAsia="黑体" w:cs="Times New Roman"/>
          <w:b/>
          <w:bCs/>
          <w:color w:val="000000" w:themeColor="text1"/>
          <w:sz w:val="24"/>
          <w:szCs w:val="22"/>
          <w:lang w:val="zh-CN"/>
          <w14:textFill>
            <w14:solidFill>
              <w14:schemeClr w14:val="tx1"/>
            </w14:solidFill>
          </w14:textFill>
        </w:rPr>
      </w:sdtEndPr>
      <w:sdtContent>
        <w:p w14:paraId="2718AC3A">
          <w:pPr>
            <w:pStyle w:val="21"/>
            <w:widowControl w:val="0"/>
            <w:rPr>
              <w:rFonts w:asciiTheme="minorHAnsi" w:hAnsiTheme="minorHAnsi" w:eastAsiaTheme="minorEastAsia" w:cstheme="minorBidi"/>
              <w:color w:val="000000" w:themeColor="text1"/>
              <w:kern w:val="2"/>
              <w:sz w:val="2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TOC \o "1-3" \h \z \u </w:instrText>
          </w:r>
          <w:r>
            <w:rPr>
              <w:color w:val="000000" w:themeColor="text1"/>
              <w14:textFill>
                <w14:solidFill>
                  <w14:schemeClr w14:val="tx1"/>
                </w14:solidFill>
              </w14:textFill>
            </w:rPr>
            <w:fldChar w:fldCharType="separate"/>
          </w:r>
          <w:r>
            <w:fldChar w:fldCharType="begin"/>
          </w:r>
          <w:r>
            <w:instrText xml:space="preserve"> HYPERLINK \l "_Toc11859485" </w:instrText>
          </w:r>
          <w:r>
            <w:fldChar w:fldCharType="separate"/>
          </w:r>
          <w:r>
            <w:rPr>
              <w:rStyle w:val="34"/>
              <w:rFonts w:hint="eastAsia" w:ascii="黑体" w:hAnsi="黑体" w:cs="黑体"/>
              <w:color w:val="000000" w:themeColor="text1"/>
              <w:kern w:val="44"/>
              <w:u w:color="000000"/>
              <w:lang w:val="zh-TW" w:eastAsia="zh-TW"/>
              <w14:textFill>
                <w14:solidFill>
                  <w14:schemeClr w14:val="tx1"/>
                </w14:solidFill>
              </w14:textFill>
            </w:rPr>
            <w:t>第一章</w:t>
          </w:r>
          <w:r>
            <w:rPr>
              <w:rStyle w:val="34"/>
              <w:rFonts w:ascii="黑体" w:hAnsi="黑体" w:cs="黑体"/>
              <w:color w:val="000000" w:themeColor="text1"/>
              <w:kern w:val="44"/>
              <w:u w:color="000000"/>
              <w:lang w:val="zh-TW" w:eastAsia="zh-TW"/>
              <w14:textFill>
                <w14:solidFill>
                  <w14:schemeClr w14:val="tx1"/>
                </w14:solidFill>
              </w14:textFill>
            </w:rPr>
            <w:t xml:space="preserve">  </w:t>
          </w:r>
          <w:r>
            <w:rPr>
              <w:rStyle w:val="34"/>
              <w:rFonts w:hint="eastAsia" w:ascii="黑体" w:hAnsi="黑体" w:cs="黑体"/>
              <w:color w:val="000000" w:themeColor="text1"/>
              <w:kern w:val="44"/>
              <w:u w:color="000000"/>
              <w:lang w:val="zh-TW"/>
              <w14:textFill>
                <w14:solidFill>
                  <w14:schemeClr w14:val="tx1"/>
                </w14:solidFill>
              </w14:textFill>
            </w:rPr>
            <w:t>招标</w:t>
          </w:r>
          <w:r>
            <w:rPr>
              <w:rStyle w:val="34"/>
              <w:rFonts w:hint="eastAsia" w:ascii="黑体" w:hAnsi="黑体" w:cs="黑体"/>
              <w:color w:val="000000" w:themeColor="text1"/>
              <w:kern w:val="44"/>
              <w:u w:color="000000"/>
              <w:lang w:val="zh-TW" w:eastAsia="zh-TW"/>
              <w14:textFill>
                <w14:solidFill>
                  <w14:schemeClr w14:val="tx1"/>
                </w14:solidFill>
              </w14:textFill>
            </w:rPr>
            <w:t>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C41D8F6">
          <w:pPr>
            <w:pStyle w:val="21"/>
            <w:widowControl w:val="0"/>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"_Toc11859486" </w:instrText>
          </w:r>
          <w:r>
            <w:fldChar w:fldCharType="separate"/>
          </w:r>
          <w:r>
            <w:rPr>
              <w:rStyle w:val="34"/>
              <w:rFonts w:hint="eastAsia" w:ascii="黑体" w:hAnsi="黑体" w:cs="黑体"/>
              <w:color w:val="000000" w:themeColor="text1"/>
              <w:kern w:val="44"/>
              <w:u w:color="000000"/>
              <w:lang w:val="zh-TW" w:eastAsia="zh-TW"/>
              <w14:textFill>
                <w14:solidFill>
                  <w14:schemeClr w14:val="tx1"/>
                </w14:solidFill>
              </w14:textFill>
            </w:rPr>
            <w:t>第二章</w:t>
          </w:r>
          <w:r>
            <w:rPr>
              <w:rStyle w:val="34"/>
              <w:rFonts w:ascii="黑体" w:hAnsi="黑体" w:cs="黑体"/>
              <w:color w:val="000000" w:themeColor="text1"/>
              <w:kern w:val="44"/>
              <w:u w:color="000000"/>
              <w:lang w:val="zh-TW" w:eastAsia="zh-TW"/>
              <w14:textFill>
                <w14:solidFill>
                  <w14:schemeClr w14:val="tx1"/>
                </w14:solidFill>
              </w14:textFill>
            </w:rPr>
            <w:t xml:space="preserve">  </w:t>
          </w:r>
          <w:r>
            <w:rPr>
              <w:rStyle w:val="34"/>
              <w:rFonts w:hint="eastAsia" w:ascii="黑体" w:hAnsi="黑体" w:cs="黑体"/>
              <w:color w:val="000000" w:themeColor="text1"/>
              <w:kern w:val="44"/>
              <w:u w:color="000000"/>
              <w:lang w:val="zh-TW"/>
              <w14:textFill>
                <w14:solidFill>
                  <w14:schemeClr w14:val="tx1"/>
                </w14:solidFill>
              </w14:textFill>
            </w:rPr>
            <w:t>投标人</w:t>
          </w:r>
          <w:r>
            <w:rPr>
              <w:rStyle w:val="34"/>
              <w:rFonts w:hint="eastAsia" w:ascii="黑体" w:hAnsi="黑体" w:cs="黑体"/>
              <w:color w:val="000000" w:themeColor="text1"/>
              <w:kern w:val="44"/>
              <w:u w:color="000000"/>
              <w:lang w:val="zh-TW" w:eastAsia="zh-TW"/>
              <w14:textFill>
                <w14:solidFill>
                  <w14:schemeClr w14:val="tx1"/>
                </w14:solidFill>
              </w14:textFill>
            </w:rPr>
            <w:t>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A30E2C6">
          <w:pPr>
            <w:pStyle w:val="21"/>
            <w:widowControl w:val="0"/>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"_Toc11859487" </w:instrText>
          </w:r>
          <w:r>
            <w:fldChar w:fldCharType="separate"/>
          </w:r>
          <w:r>
            <w:rPr>
              <w:rStyle w:val="34"/>
              <w:rFonts w:hint="eastAsia" w:ascii="黑体" w:hAnsi="黑体" w:cs="黑体"/>
              <w:color w:val="000000" w:themeColor="text1"/>
              <w:kern w:val="44"/>
              <w:u w:color="000000"/>
              <w:lang w:val="zh-TW" w:eastAsia="zh-TW"/>
              <w14:textFill>
                <w14:solidFill>
                  <w14:schemeClr w14:val="tx1"/>
                </w14:solidFill>
              </w14:textFill>
            </w:rPr>
            <w:t>第</w:t>
          </w:r>
          <w:r>
            <w:rPr>
              <w:rStyle w:val="34"/>
              <w:rFonts w:hint="eastAsia" w:ascii="黑体" w:hAnsi="黑体" w:cs="黑体"/>
              <w:color w:val="000000" w:themeColor="text1"/>
              <w:kern w:val="44"/>
              <w:u w:color="000000"/>
              <w:lang w:val="zh-TW"/>
              <w14:textFill>
                <w14:solidFill>
                  <w14:schemeClr w14:val="tx1"/>
                </w14:solidFill>
              </w14:textFill>
            </w:rPr>
            <w:t>三</w:t>
          </w:r>
          <w:r>
            <w:rPr>
              <w:rStyle w:val="34"/>
              <w:rFonts w:hint="eastAsia" w:ascii="黑体" w:hAnsi="黑体" w:cs="黑体"/>
              <w:color w:val="000000" w:themeColor="text1"/>
              <w:kern w:val="44"/>
              <w:u w:color="000000"/>
              <w:lang w:val="zh-TW" w:eastAsia="zh-TW"/>
              <w14:textFill>
                <w14:solidFill>
                  <w14:schemeClr w14:val="tx1"/>
                </w14:solidFill>
              </w14:textFill>
            </w:rPr>
            <w:t>章</w:t>
          </w:r>
          <w:r>
            <w:rPr>
              <w:rStyle w:val="34"/>
              <w:rFonts w:ascii="黑体" w:hAnsi="黑体" w:cs="黑体"/>
              <w:color w:val="000000" w:themeColor="text1"/>
              <w:kern w:val="44"/>
              <w:u w:color="000000"/>
              <w:lang w:val="zh-TW" w:eastAsia="zh-TW"/>
              <w14:textFill>
                <w14:solidFill>
                  <w14:schemeClr w14:val="tx1"/>
                </w14:solidFill>
              </w14:textFill>
            </w:rPr>
            <w:t xml:space="preserve">  </w:t>
          </w:r>
          <w:r>
            <w:rPr>
              <w:rStyle w:val="34"/>
              <w:rFonts w:hint="eastAsia" w:ascii="黑体" w:hAnsi="黑体" w:cs="黑体"/>
              <w:color w:val="000000" w:themeColor="text1"/>
              <w:kern w:val="44"/>
              <w:u w:color="000000"/>
              <w:lang w:val="zh-TW" w:eastAsia="zh-TW"/>
              <w14:textFill>
                <w14:solidFill>
                  <w14:schemeClr w14:val="tx1"/>
                </w14:solidFill>
              </w14:textFill>
            </w:rPr>
            <w:t>合同条款及格式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_Toc11859487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5D75E57">
          <w:pPr>
            <w:pStyle w:val="21"/>
            <w:widowControl w:val="0"/>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"_Toc11859488" </w:instrText>
          </w:r>
          <w:r>
            <w:fldChar w:fldCharType="separate"/>
          </w:r>
          <w:r>
            <w:rPr>
              <w:rStyle w:val="34"/>
              <w:rFonts w:hint="eastAsia" w:ascii="黑体" w:hAnsi="黑体" w:cs="黑体"/>
              <w:color w:val="000000" w:themeColor="text1"/>
              <w:kern w:val="44"/>
              <w:u w:color="000000"/>
              <w:lang w:val="zh-TW" w:eastAsia="zh-TW"/>
              <w14:textFill>
                <w14:solidFill>
                  <w14:schemeClr w14:val="tx1"/>
                </w14:solidFill>
              </w14:textFill>
            </w:rPr>
            <w:t>第</w:t>
          </w:r>
          <w:r>
            <w:rPr>
              <w:rStyle w:val="34"/>
              <w:rFonts w:hint="eastAsia" w:ascii="黑体" w:hAnsi="黑体" w:cs="黑体"/>
              <w:color w:val="000000" w:themeColor="text1"/>
              <w:kern w:val="44"/>
              <w:u w:color="000000"/>
              <w:lang w:val="zh-TW"/>
              <w14:textFill>
                <w14:solidFill>
                  <w14:schemeClr w14:val="tx1"/>
                </w14:solidFill>
              </w14:textFill>
            </w:rPr>
            <w:t>四</w:t>
          </w:r>
          <w:r>
            <w:rPr>
              <w:rStyle w:val="34"/>
              <w:rFonts w:hint="eastAsia" w:ascii="黑体" w:hAnsi="黑体" w:cs="黑体"/>
              <w:color w:val="000000" w:themeColor="text1"/>
              <w:kern w:val="44"/>
              <w:u w:color="000000"/>
              <w:lang w:val="zh-TW" w:eastAsia="zh-TW"/>
              <w14:textFill>
                <w14:solidFill>
                  <w14:schemeClr w14:val="tx1"/>
                </w14:solidFill>
              </w14:textFill>
            </w:rPr>
            <w:t>章</w:t>
          </w:r>
          <w:r>
            <w:rPr>
              <w:rStyle w:val="34"/>
              <w:rFonts w:ascii="黑体" w:hAnsi="黑体" w:cs="黑体"/>
              <w:color w:val="000000" w:themeColor="text1"/>
              <w:kern w:val="44"/>
              <w:u w:color="000000"/>
              <w:lang w:val="zh-TW" w:eastAsia="zh-TW"/>
              <w14:textFill>
                <w14:solidFill>
                  <w14:schemeClr w14:val="tx1"/>
                </w14:solidFill>
              </w14:textFill>
            </w:rPr>
            <w:t xml:space="preserve">  </w:t>
          </w:r>
          <w:r>
            <w:rPr>
              <w:rStyle w:val="34"/>
              <w:rFonts w:hint="eastAsia" w:ascii="黑体" w:hAnsi="黑体" w:cs="黑体"/>
              <w:color w:val="000000" w:themeColor="text1"/>
              <w:kern w:val="44"/>
              <w:u w:color="000000"/>
              <w:lang w:val="zh-TW"/>
              <w14:textFill>
                <w14:solidFill>
                  <w14:schemeClr w14:val="tx1"/>
                </w14:solidFill>
              </w14:textFill>
            </w:rPr>
            <w:t>项目需求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BBDBDC5">
          <w:pPr>
            <w:pStyle w:val="21"/>
            <w:widowControl w:val="0"/>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"_Toc11859489" </w:instrText>
          </w:r>
          <w:r>
            <w:fldChar w:fldCharType="separate"/>
          </w:r>
          <w:r>
            <w:rPr>
              <w:rStyle w:val="34"/>
              <w:rFonts w:hint="eastAsia" w:ascii="黑体" w:hAnsi="黑体" w:cs="黑体"/>
              <w:color w:val="000000" w:themeColor="text1"/>
              <w:kern w:val="44"/>
              <w:u w:color="000000"/>
              <w:lang w:val="zh-TW" w:eastAsia="zh-TW"/>
              <w14:textFill>
                <w14:solidFill>
                  <w14:schemeClr w14:val="tx1"/>
                </w14:solidFill>
              </w14:textFill>
            </w:rPr>
            <w:t>第</w:t>
          </w:r>
          <w:r>
            <w:rPr>
              <w:rStyle w:val="34"/>
              <w:rFonts w:hint="eastAsia" w:ascii="黑体" w:hAnsi="黑体" w:cs="黑体"/>
              <w:color w:val="000000" w:themeColor="text1"/>
              <w:kern w:val="44"/>
              <w:u w:color="000000"/>
              <w:lang w:val="zh-TW"/>
              <w14:textFill>
                <w14:solidFill>
                  <w14:schemeClr w14:val="tx1"/>
                </w14:solidFill>
              </w14:textFill>
            </w:rPr>
            <w:t>五</w:t>
          </w:r>
          <w:r>
            <w:rPr>
              <w:rStyle w:val="34"/>
              <w:rFonts w:hint="eastAsia" w:ascii="黑体" w:hAnsi="黑体" w:cs="黑体"/>
              <w:color w:val="000000" w:themeColor="text1"/>
              <w:kern w:val="44"/>
              <w:u w:color="000000"/>
              <w:lang w:val="zh-TW" w:eastAsia="zh-TW"/>
              <w14:textFill>
                <w14:solidFill>
                  <w14:schemeClr w14:val="tx1"/>
                </w14:solidFill>
              </w14:textFill>
            </w:rPr>
            <w:t>章</w:t>
          </w:r>
          <w:r>
            <w:rPr>
              <w:rStyle w:val="34"/>
              <w:rFonts w:ascii="黑体" w:hAnsi="黑体" w:cs="黑体"/>
              <w:color w:val="000000" w:themeColor="text1"/>
              <w:kern w:val="44"/>
              <w:u w:color="000000"/>
              <w:lang w:val="zh-TW" w:eastAsia="zh-TW"/>
              <w14:textFill>
                <w14:solidFill>
                  <w14:schemeClr w14:val="tx1"/>
                </w14:solidFill>
              </w14:textFill>
            </w:rPr>
            <w:t xml:space="preserve">  </w:t>
          </w:r>
          <w:r>
            <w:rPr>
              <w:rStyle w:val="34"/>
              <w:rFonts w:hint="eastAsia" w:ascii="黑体" w:hAnsi="黑体" w:cs="黑体"/>
              <w:color w:val="000000" w:themeColor="text1"/>
              <w:kern w:val="44"/>
              <w:u w:color="000000"/>
              <w:lang w:val="zh-TW" w:eastAsia="zh-TW"/>
              <w14:textFill>
                <w14:solidFill>
                  <w14:schemeClr w14:val="tx1"/>
                </w14:solidFill>
              </w14:textFill>
            </w:rPr>
            <w:t>评标方法与评标标准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C4566F3">
          <w:pPr>
            <w:pStyle w:val="21"/>
            <w:widowControl w:val="0"/>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"_Toc11859490" </w:instrText>
          </w:r>
          <w:r>
            <w:fldChar w:fldCharType="separate"/>
          </w:r>
          <w:r>
            <w:rPr>
              <w:rStyle w:val="34"/>
              <w:rFonts w:hint="eastAsia" w:ascii="黑体" w:hAnsi="黑体" w:cs="黑体"/>
              <w:color w:val="000000" w:themeColor="text1"/>
              <w:kern w:val="44"/>
              <w:u w:color="000000"/>
              <w:lang w:val="zh-TW" w:eastAsia="zh-TW"/>
              <w14:textFill>
                <w14:solidFill>
                  <w14:schemeClr w14:val="tx1"/>
                </w14:solidFill>
              </w14:textFill>
            </w:rPr>
            <w:t>第</w:t>
          </w:r>
          <w:r>
            <w:rPr>
              <w:rStyle w:val="34"/>
              <w:rFonts w:hint="eastAsia" w:ascii="黑体" w:hAnsi="黑体" w:cs="黑体"/>
              <w:color w:val="000000" w:themeColor="text1"/>
              <w:kern w:val="44"/>
              <w:u w:color="000000"/>
              <w:lang w:val="zh-TW"/>
              <w14:textFill>
                <w14:solidFill>
                  <w14:schemeClr w14:val="tx1"/>
                </w14:solidFill>
              </w14:textFill>
            </w:rPr>
            <w:t>六</w:t>
          </w:r>
          <w:r>
            <w:rPr>
              <w:rStyle w:val="34"/>
              <w:rFonts w:hint="eastAsia" w:ascii="黑体" w:hAnsi="黑体" w:cs="黑体"/>
              <w:color w:val="000000" w:themeColor="text1"/>
              <w:kern w:val="44"/>
              <w:u w:color="000000"/>
              <w:lang w:val="zh-TW" w:eastAsia="zh-TW"/>
              <w14:textFill>
                <w14:solidFill>
                  <w14:schemeClr w14:val="tx1"/>
                </w14:solidFill>
              </w14:textFill>
            </w:rPr>
            <w:t>章</w:t>
          </w:r>
          <w:r>
            <w:rPr>
              <w:rStyle w:val="34"/>
              <w:rFonts w:ascii="黑体" w:hAnsi="黑体" w:cs="黑体"/>
              <w:color w:val="000000" w:themeColor="text1"/>
              <w:kern w:val="44"/>
              <w:u w:color="000000"/>
              <w:lang w:val="zh-TW" w:eastAsia="zh-TW"/>
              <w14:textFill>
                <w14:solidFill>
                  <w14:schemeClr w14:val="tx1"/>
                </w14:solidFill>
              </w14:textFill>
            </w:rPr>
            <w:t xml:space="preserve">  </w:t>
          </w:r>
          <w:r>
            <w:rPr>
              <w:rStyle w:val="34"/>
              <w:rFonts w:hint="eastAsia" w:ascii="黑体" w:hAnsi="黑体" w:cs="黑体"/>
              <w:color w:val="000000" w:themeColor="text1"/>
              <w:kern w:val="44"/>
              <w:u w:color="000000"/>
              <w:lang w:val="zh-TW" w:eastAsia="zh-TW"/>
              <w14:textFill>
                <w14:solidFill>
                  <w14:schemeClr w14:val="tx1"/>
                </w14:solidFill>
              </w14:textFill>
            </w:rPr>
            <w:t>投标文件格式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E5F4226">
          <w:pPr>
            <w:pStyle w:val="15"/>
            <w:widowControl w:val="0"/>
            <w:tabs>
              <w:tab w:val="right" w:leader="dot" w:pos="8777"/>
            </w:tabs>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"_Toc11859491" </w:instrText>
          </w:r>
          <w:r>
            <w:fldChar w:fldCharType="separate"/>
          </w:r>
          <w:r>
            <w:rPr>
              <w:rStyle w:val="34"/>
              <w:rFonts w:eastAsia="黑体"/>
              <w:color w:val="000000" w:themeColor="text1"/>
              <w:u w:color="000000"/>
              <w14:textFill>
                <w14:solidFill>
                  <w14:schemeClr w14:val="tx1"/>
                </w14:solidFill>
              </w14:textFill>
            </w:rPr>
            <w:t xml:space="preserve">6.1 </w:t>
          </w:r>
          <w:r>
            <w:rPr>
              <w:rStyle w:val="34"/>
              <w:rFonts w:hint="eastAsia" w:eastAsia="黑体"/>
              <w:color w:val="000000" w:themeColor="text1"/>
              <w:u w:color="000000"/>
              <w14:textFill>
                <w14:solidFill>
                  <w14:schemeClr w14:val="tx1"/>
                </w14:solidFill>
              </w14:textFill>
            </w:rPr>
            <w:t>投标函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18BB6F6">
          <w:pPr>
            <w:pStyle w:val="15"/>
            <w:widowControl w:val="0"/>
            <w:tabs>
              <w:tab w:val="right" w:leader="dot" w:pos="8777"/>
            </w:tabs>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"_Toc11859492" </w:instrText>
          </w:r>
          <w:r>
            <w:fldChar w:fldCharType="separate"/>
          </w:r>
          <w:r>
            <w:rPr>
              <w:rStyle w:val="34"/>
              <w:rFonts w:eastAsia="黑体"/>
              <w:color w:val="000000" w:themeColor="text1"/>
              <w:u w:color="000000"/>
              <w14:textFill>
                <w14:solidFill>
                  <w14:schemeClr w14:val="tx1"/>
                </w14:solidFill>
              </w14:textFill>
            </w:rPr>
            <w:t xml:space="preserve">6.2 </w:t>
          </w:r>
          <w:r>
            <w:rPr>
              <w:rStyle w:val="34"/>
              <w:rFonts w:hint="eastAsia" w:eastAsia="黑体"/>
              <w:color w:val="000000" w:themeColor="text1"/>
              <w:u w:color="000000"/>
              <w14:textFill>
                <w14:solidFill>
                  <w14:schemeClr w14:val="tx1"/>
                </w14:solidFill>
              </w14:textFill>
            </w:rPr>
            <w:t>投标一览表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01F0514">
          <w:pPr>
            <w:pStyle w:val="15"/>
            <w:widowControl w:val="0"/>
            <w:tabs>
              <w:tab w:val="right" w:leader="dot" w:pos="8777"/>
            </w:tabs>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"_Toc11859493" </w:instrText>
          </w:r>
          <w:r>
            <w:fldChar w:fldCharType="separate"/>
          </w:r>
          <w:r>
            <w:rPr>
              <w:rStyle w:val="34"/>
              <w:rFonts w:eastAsia="黑体"/>
              <w:color w:val="000000" w:themeColor="text1"/>
              <w:u w:color="000000"/>
              <w14:textFill>
                <w14:solidFill>
                  <w14:schemeClr w14:val="tx1"/>
                </w14:solidFill>
              </w14:textFill>
            </w:rPr>
            <w:t xml:space="preserve">6.3 </w:t>
          </w:r>
          <w:r>
            <w:rPr>
              <w:rStyle w:val="34"/>
              <w:rFonts w:hint="eastAsia" w:eastAsia="黑体"/>
              <w:color w:val="000000" w:themeColor="text1"/>
              <w:u w:color="000000"/>
              <w14:textFill>
                <w14:solidFill>
                  <w14:schemeClr w14:val="tx1"/>
                </w14:solidFill>
              </w14:textFill>
            </w:rPr>
            <w:t>法人授权书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01AACAD">
          <w:pPr>
            <w:pStyle w:val="15"/>
            <w:widowControl w:val="0"/>
            <w:tabs>
              <w:tab w:val="right" w:leader="dot" w:pos="8777"/>
            </w:tabs>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"_Toc11859494" </w:instrText>
          </w:r>
          <w:r>
            <w:fldChar w:fldCharType="separate"/>
          </w:r>
          <w:r>
            <w:rPr>
              <w:rStyle w:val="34"/>
              <w:rFonts w:eastAsia="黑体"/>
              <w:color w:val="000000" w:themeColor="text1"/>
              <w:u w:color="000000"/>
              <w14:textFill>
                <w14:solidFill>
                  <w14:schemeClr w14:val="tx1"/>
                </w14:solidFill>
              </w14:textFill>
            </w:rPr>
            <w:t xml:space="preserve">6.4 </w:t>
          </w:r>
          <w:r>
            <w:rPr>
              <w:rStyle w:val="34"/>
              <w:rFonts w:hint="eastAsia" w:eastAsia="黑体"/>
              <w:color w:val="000000" w:themeColor="text1"/>
              <w:u w:color="000000"/>
              <w14:textFill>
                <w14:solidFill>
                  <w14:schemeClr w14:val="tx1"/>
                </w14:solidFill>
              </w14:textFill>
            </w:rPr>
            <w:t>资格证明文件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6162F81">
          <w:pPr>
            <w:pStyle w:val="15"/>
            <w:widowControl w:val="0"/>
            <w:tabs>
              <w:tab w:val="right" w:leader="dot" w:pos="8777"/>
            </w:tabs>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"_Toc11859495" </w:instrText>
          </w:r>
          <w:r>
            <w:fldChar w:fldCharType="separate"/>
          </w:r>
          <w:r>
            <w:rPr>
              <w:rStyle w:val="34"/>
              <w:rFonts w:eastAsia="黑体"/>
              <w:color w:val="000000" w:themeColor="text1"/>
              <w:u w:color="000000"/>
              <w14:textFill>
                <w14:solidFill>
                  <w14:schemeClr w14:val="tx1"/>
                </w14:solidFill>
              </w14:textFill>
            </w:rPr>
            <w:t xml:space="preserve">6.5 </w:t>
          </w:r>
          <w:r>
            <w:rPr>
              <w:rStyle w:val="34"/>
              <w:rFonts w:hint="eastAsia" w:eastAsia="黑体"/>
              <w:color w:val="000000" w:themeColor="text1"/>
              <w:u w:color="000000"/>
              <w14:textFill>
                <w14:solidFill>
                  <w14:schemeClr w14:val="tx1"/>
                </w14:solidFill>
              </w14:textFill>
            </w:rPr>
            <w:t>商务条款响应及偏离表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C7F90E6">
          <w:pPr>
            <w:pStyle w:val="15"/>
            <w:widowControl w:val="0"/>
            <w:tabs>
              <w:tab w:val="right" w:leader="dot" w:pos="8777"/>
            </w:tabs>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"_Toc11859496" </w:instrText>
          </w:r>
          <w:r>
            <w:fldChar w:fldCharType="separate"/>
          </w:r>
          <w:r>
            <w:rPr>
              <w:rStyle w:val="34"/>
              <w:rFonts w:eastAsia="黑体"/>
              <w:color w:val="000000" w:themeColor="text1"/>
              <w:u w:color="000000"/>
              <w14:textFill>
                <w14:solidFill>
                  <w14:schemeClr w14:val="tx1"/>
                </w14:solidFill>
              </w14:textFill>
            </w:rPr>
            <w:t xml:space="preserve">6.6 </w:t>
          </w:r>
          <w:r>
            <w:rPr>
              <w:rStyle w:val="34"/>
              <w:rFonts w:hint="eastAsia" w:eastAsia="黑体"/>
              <w:color w:val="000000" w:themeColor="text1"/>
              <w:u w:color="000000"/>
              <w14:textFill>
                <w14:solidFill>
                  <w14:schemeClr w14:val="tx1"/>
                </w14:solidFill>
              </w14:textFill>
            </w:rPr>
            <w:t>技术参数响应及偏离表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4AA4985">
          <w:pPr>
            <w:pStyle w:val="15"/>
            <w:widowControl w:val="0"/>
            <w:tabs>
              <w:tab w:val="right" w:leader="dot" w:pos="8777"/>
            </w:tabs>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"_Toc11859497" </w:instrText>
          </w:r>
          <w:r>
            <w:fldChar w:fldCharType="separate"/>
          </w:r>
          <w:r>
            <w:rPr>
              <w:rStyle w:val="34"/>
              <w:rFonts w:eastAsia="黑体"/>
              <w:color w:val="000000" w:themeColor="text1"/>
              <w:u w:color="000000"/>
              <w14:textFill>
                <w14:solidFill>
                  <w14:schemeClr w14:val="tx1"/>
                </w14:solidFill>
              </w14:textFill>
            </w:rPr>
            <w:t xml:space="preserve">6.7 </w:t>
          </w:r>
          <w:r>
            <w:rPr>
              <w:rStyle w:val="34"/>
              <w:rFonts w:hint="eastAsia" w:eastAsia="黑体"/>
              <w:color w:val="000000" w:themeColor="text1"/>
              <w:u w:color="000000"/>
              <w14:textFill>
                <w14:solidFill>
                  <w14:schemeClr w14:val="tx1"/>
                </w14:solidFill>
              </w14:textFill>
            </w:rPr>
            <w:t>投标人业绩情况表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B383EC8">
          <w:pPr>
            <w:pStyle w:val="15"/>
            <w:widowControl w:val="0"/>
            <w:tabs>
              <w:tab w:val="right" w:leader="dot" w:pos="8777"/>
            </w:tabs>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"_Toc11859498" </w:instrText>
          </w:r>
          <w:r>
            <w:fldChar w:fldCharType="separate"/>
          </w:r>
          <w:r>
            <w:rPr>
              <w:rStyle w:val="34"/>
              <w:rFonts w:eastAsia="黑体"/>
              <w:color w:val="000000" w:themeColor="text1"/>
              <w:u w:color="000000"/>
              <w14:textFill>
                <w14:solidFill>
                  <w14:schemeClr w14:val="tx1"/>
                </w14:solidFill>
              </w14:textFill>
            </w:rPr>
            <w:t xml:space="preserve">6.8 </w:t>
          </w:r>
          <w:r>
            <w:rPr>
              <w:rStyle w:val="34"/>
              <w:rFonts w:hint="eastAsia" w:eastAsia="黑体"/>
              <w:color w:val="000000" w:themeColor="text1"/>
              <w:u w:color="000000"/>
              <w14:textFill>
                <w14:solidFill>
                  <w14:schemeClr w14:val="tx1"/>
                </w14:solidFill>
              </w14:textFill>
            </w:rPr>
            <w:t>项目技术说明或实施方案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394CEB8">
          <w:pPr>
            <w:pStyle w:val="15"/>
            <w:widowControl w:val="0"/>
            <w:tabs>
              <w:tab w:val="right" w:leader="dot" w:pos="8777"/>
            </w:tabs>
            <w:rPr>
              <w:rFonts w:asciiTheme="minorHAnsi" w:hAnsiTheme="minorHAnsi" w:eastAsiaTheme="minorEastAsia" w:cstheme="minorBidi"/>
              <w:color w:val="000000" w:themeColor="text1"/>
              <w:kern w:val="2"/>
              <w:sz w:val="21"/>
              <w14:textFill>
                <w14:solidFill>
                  <w14:schemeClr w14:val="tx1"/>
                </w14:solidFill>
              </w14:textFill>
            </w:rPr>
          </w:pPr>
          <w:r>
            <w:fldChar w:fldCharType="begin"/>
          </w:r>
          <w:r>
            <w:instrText xml:space="preserve"> HYPERLINK \l "_Toc11859499" </w:instrText>
          </w:r>
          <w:r>
            <w:fldChar w:fldCharType="separate"/>
          </w:r>
          <w:r>
            <w:rPr>
              <w:rStyle w:val="34"/>
              <w:rFonts w:eastAsia="黑体"/>
              <w:color w:val="000000" w:themeColor="text1"/>
              <w:u w:color="000000"/>
              <w14:textFill>
                <w14:solidFill>
                  <w14:schemeClr w14:val="tx1"/>
                </w14:solidFill>
              </w14:textFill>
            </w:rPr>
            <w:t xml:space="preserve">6.9 </w:t>
          </w:r>
          <w:r>
            <w:rPr>
              <w:rStyle w:val="34"/>
              <w:rFonts w:hint="eastAsia" w:eastAsia="黑体"/>
              <w:color w:val="000000" w:themeColor="text1"/>
              <w:u w:color="000000"/>
              <w14:textFill>
                <w14:solidFill>
                  <w14:schemeClr w14:val="tx1"/>
                </w14:solidFill>
              </w14:textFill>
            </w:rPr>
            <w:t>投标人其它声明及材料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_Toc11859499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93A05AC">
          <w:pPr>
            <w:pStyle w:val="21"/>
            <w:widowControl w:val="0"/>
            <w:rPr>
              <w:color w:val="000000" w:themeColor="text1"/>
              <w14:textFill>
                <w14:solidFill>
                  <w14:schemeClr w14:val="tx1"/>
                </w14:solidFill>
              </w14:textFill>
            </w:rPr>
          </w:pPr>
          <w:r>
            <w:rPr>
              <w:color w:val="000000" w:themeColor="text1"/>
              <w14:textFill>
                <w14:solidFill>
                  <w14:schemeClr w14:val="tx1"/>
                </w14:solidFill>
              </w14:textFill>
            </w:rPr>
            <w:fldChar w:fldCharType="end"/>
          </w:r>
        </w:p>
      </w:sdtContent>
    </w:sdt>
    <w:p w14:paraId="6F18FAEE">
      <w:pPr>
        <w:jc w:val="left"/>
        <w:rPr>
          <w:color w:val="000000" w:themeColor="text1"/>
          <w14:textFill>
            <w14:solidFill>
              <w14:schemeClr w14:val="tx1"/>
            </w14:solidFill>
          </w14:textFill>
        </w:rPr>
        <w:sectPr>
          <w:headerReference r:id="rId5" w:type="default"/>
          <w:footerReference r:id="rId6" w:type="default"/>
          <w:pgSz w:w="11906" w:h="16838"/>
          <w:pgMar w:top="1418" w:right="1418" w:bottom="1418" w:left="1701" w:header="851" w:footer="992" w:gutter="0"/>
          <w:pgNumType w:fmt="upperRoman" w:start="1"/>
          <w:cols w:space="425" w:num="1"/>
          <w:titlePg/>
          <w:docGrid w:type="lines" w:linePitch="312" w:charSpace="0"/>
        </w:sectPr>
      </w:pPr>
    </w:p>
    <w:p w14:paraId="6F335FA7">
      <w:pPr>
        <w:spacing w:before="312" w:beforeLines="100" w:after="312" w:afterLines="100" w:line="360" w:lineRule="auto"/>
        <w:jc w:val="center"/>
        <w:outlineLvl w:val="0"/>
        <w:rPr>
          <w:sz w:val="28"/>
          <w:szCs w:val="28"/>
        </w:rPr>
      </w:pPr>
      <w:bookmarkStart w:id="1" w:name="_Toc448069940"/>
      <w:bookmarkStart w:id="2" w:name="_Toc11859485"/>
      <w:bookmarkStart w:id="3" w:name="_Toc415494523"/>
      <w:bookmarkStart w:id="4" w:name="_Toc"/>
      <w:r>
        <w:rPr>
          <w:rFonts w:ascii="黑体" w:hAnsi="黑体" w:eastAsia="黑体" w:cs="黑体"/>
          <w:color w:val="000000" w:themeColor="text1"/>
          <w:kern w:val="44"/>
          <w:sz w:val="36"/>
          <w:szCs w:val="36"/>
          <w:u w:color="000000"/>
          <w:lang w:val="zh-TW"/>
          <w14:textFill>
            <w14:solidFill>
              <w14:schemeClr w14:val="tx1"/>
            </w14:solidFill>
          </w14:textFill>
        </w:rPr>
        <w:t xml:space="preserve">第一章  </w:t>
      </w:r>
      <w:r>
        <w:rPr>
          <w:rFonts w:hint="eastAsia" w:ascii="黑体" w:hAnsi="黑体" w:eastAsia="黑体" w:cs="黑体"/>
          <w:color w:val="000000" w:themeColor="text1"/>
          <w:kern w:val="44"/>
          <w:sz w:val="36"/>
          <w:szCs w:val="36"/>
          <w:u w:color="000000"/>
          <w:lang w:val="zh-TW"/>
          <w14:textFill>
            <w14:solidFill>
              <w14:schemeClr w14:val="tx1"/>
            </w14:solidFill>
          </w14:textFill>
        </w:rPr>
        <w:t>招标</w:t>
      </w:r>
      <w:r>
        <w:rPr>
          <w:rFonts w:ascii="黑体" w:hAnsi="黑体" w:eastAsia="黑体" w:cs="黑体"/>
          <w:color w:val="000000" w:themeColor="text1"/>
          <w:kern w:val="44"/>
          <w:sz w:val="36"/>
          <w:szCs w:val="36"/>
          <w:u w:color="000000"/>
          <w:lang w:val="zh-TW"/>
          <w14:textFill>
            <w14:solidFill>
              <w14:schemeClr w14:val="tx1"/>
            </w14:solidFill>
          </w14:textFill>
        </w:rPr>
        <w:t>公告</w:t>
      </w:r>
      <w:bookmarkEnd w:id="1"/>
      <w:bookmarkEnd w:id="2"/>
      <w:bookmarkEnd w:id="3"/>
      <w:bookmarkEnd w:id="4"/>
    </w:p>
    <w:p w14:paraId="30B53F0A">
      <w:pPr>
        <w:pStyle w:val="3"/>
        <w:spacing w:line="360" w:lineRule="exact"/>
        <w:rPr>
          <w:rFonts w:ascii="黑体" w:hAnsi="黑体" w:cs="宋体"/>
          <w:b w:val="0"/>
          <w:sz w:val="28"/>
          <w:szCs w:val="28"/>
        </w:rPr>
      </w:pPr>
      <w:bookmarkStart w:id="5" w:name="_Toc28359079"/>
      <w:bookmarkStart w:id="6" w:name="_Toc35393621"/>
      <w:bookmarkStart w:id="7" w:name="_Toc35393790"/>
      <w:bookmarkStart w:id="8" w:name="_Toc28359002"/>
      <w:bookmarkStart w:id="9" w:name="_Hlk24379207"/>
      <w:bookmarkStart w:id="10" w:name="_Hlk120006577"/>
      <w:r>
        <w:rPr>
          <w:rFonts w:hint="eastAsia" w:ascii="黑体" w:hAnsi="黑体" w:cs="宋体"/>
          <w:b w:val="0"/>
          <w:sz w:val="28"/>
          <w:szCs w:val="28"/>
        </w:rPr>
        <w:t>一、项目基本情况</w:t>
      </w:r>
      <w:bookmarkEnd w:id="5"/>
      <w:bookmarkEnd w:id="6"/>
      <w:bookmarkEnd w:id="7"/>
      <w:bookmarkEnd w:id="8"/>
    </w:p>
    <w:p w14:paraId="5974D81A">
      <w:pPr>
        <w:spacing w:line="40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项目编号：JSZC-320100-ZTZB-G2026-0021</w:t>
      </w:r>
      <w:r>
        <w:rPr>
          <w:rFonts w:hint="eastAsia" w:ascii="仿宋" w:hAnsi="仿宋" w:eastAsia="仿宋"/>
          <w:sz w:val="28"/>
          <w:szCs w:val="28"/>
          <w:lang w:eastAsia="zh-CN"/>
        </w:rPr>
        <w:t>（</w:t>
      </w:r>
      <w:r>
        <w:rPr>
          <w:rFonts w:hint="eastAsia" w:ascii="仿宋" w:hAnsi="仿宋" w:eastAsia="仿宋"/>
          <w:sz w:val="28"/>
          <w:szCs w:val="28"/>
        </w:rPr>
        <w:t>NIMT-ZB-2026001</w:t>
      </w:r>
      <w:r>
        <w:rPr>
          <w:rFonts w:hint="eastAsia" w:ascii="仿宋" w:hAnsi="仿宋" w:eastAsia="仿宋"/>
          <w:sz w:val="28"/>
          <w:szCs w:val="28"/>
          <w:lang w:eastAsia="zh-CN"/>
        </w:rPr>
        <w:t>）</w:t>
      </w:r>
    </w:p>
    <w:p w14:paraId="7FE152E6">
      <w:pPr>
        <w:spacing w:line="400" w:lineRule="exact"/>
        <w:ind w:left="1959" w:leftChars="266" w:hanging="1400" w:hangingChars="500"/>
        <w:rPr>
          <w:rFonts w:ascii="仿宋" w:hAnsi="仿宋" w:eastAsia="仿宋"/>
          <w:sz w:val="28"/>
          <w:szCs w:val="28"/>
        </w:rPr>
      </w:pPr>
      <w:r>
        <w:rPr>
          <w:rFonts w:hint="eastAsia" w:ascii="仿宋" w:hAnsi="仿宋" w:eastAsia="仿宋"/>
          <w:sz w:val="28"/>
          <w:szCs w:val="28"/>
        </w:rPr>
        <w:t>项目名称：</w:t>
      </w:r>
      <w:bookmarkEnd w:id="9"/>
      <w:r>
        <w:rPr>
          <w:rFonts w:hint="eastAsia" w:ascii="仿宋" w:hAnsi="仿宋" w:eastAsia="仿宋"/>
          <w:sz w:val="28"/>
          <w:szCs w:val="28"/>
        </w:rPr>
        <w:t>南京机电职业技术学院医务室第三方托管服务项目</w:t>
      </w:r>
    </w:p>
    <w:p w14:paraId="79A7E7C7">
      <w:pPr>
        <w:spacing w:line="40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预算金额：</w:t>
      </w:r>
      <w:bookmarkStart w:id="11" w:name="OLE_LINK6"/>
      <w:r>
        <w:rPr>
          <w:rFonts w:hint="eastAsia" w:ascii="仿宋" w:hAnsi="仿宋" w:eastAsia="仿宋"/>
          <w:sz w:val="28"/>
          <w:szCs w:val="28"/>
          <w:lang w:val="en-US" w:eastAsia="zh-CN"/>
        </w:rPr>
        <w:t>50</w:t>
      </w:r>
      <w:r>
        <w:rPr>
          <w:rFonts w:hint="eastAsia" w:ascii="仿宋" w:hAnsi="仿宋" w:eastAsia="仿宋"/>
          <w:sz w:val="28"/>
          <w:szCs w:val="28"/>
        </w:rPr>
        <w:t>万元人民币</w:t>
      </w:r>
      <w:bookmarkEnd w:id="11"/>
      <w:r>
        <w:rPr>
          <w:rFonts w:hint="eastAsia" w:ascii="仿宋" w:hAnsi="仿宋" w:eastAsia="仿宋"/>
          <w:sz w:val="28"/>
          <w:szCs w:val="28"/>
          <w:lang w:val="en-US" w:eastAsia="zh-CN"/>
        </w:rPr>
        <w:t>/年</w:t>
      </w:r>
    </w:p>
    <w:p w14:paraId="3364239F">
      <w:pPr>
        <w:spacing w:line="400" w:lineRule="exact"/>
        <w:ind w:firstLine="560" w:firstLineChars="200"/>
        <w:rPr>
          <w:rFonts w:ascii="仿宋" w:hAnsi="仿宋" w:eastAsia="仿宋"/>
          <w:sz w:val="28"/>
          <w:szCs w:val="28"/>
        </w:rPr>
      </w:pPr>
      <w:r>
        <w:rPr>
          <w:rFonts w:hint="eastAsia" w:ascii="仿宋" w:hAnsi="仿宋" w:eastAsia="仿宋"/>
          <w:sz w:val="28"/>
          <w:szCs w:val="28"/>
        </w:rPr>
        <w:t>最高限价：</w:t>
      </w:r>
      <w:r>
        <w:rPr>
          <w:rFonts w:hint="eastAsia" w:ascii="仿宋" w:hAnsi="仿宋" w:eastAsia="仿宋"/>
          <w:sz w:val="28"/>
          <w:szCs w:val="28"/>
          <w:lang w:val="en-US" w:eastAsia="zh-CN"/>
        </w:rPr>
        <w:t>50</w:t>
      </w:r>
      <w:r>
        <w:rPr>
          <w:rFonts w:hint="eastAsia" w:ascii="仿宋" w:hAnsi="仿宋" w:eastAsia="仿宋"/>
          <w:sz w:val="28"/>
          <w:szCs w:val="28"/>
        </w:rPr>
        <w:t>万元人民币</w:t>
      </w:r>
      <w:r>
        <w:rPr>
          <w:rFonts w:hint="eastAsia" w:ascii="仿宋" w:hAnsi="仿宋" w:eastAsia="仿宋"/>
          <w:sz w:val="28"/>
          <w:szCs w:val="28"/>
          <w:lang w:val="en-US" w:eastAsia="zh-CN"/>
        </w:rPr>
        <w:t>/年</w:t>
      </w:r>
    </w:p>
    <w:p w14:paraId="76DCDD1E">
      <w:pPr>
        <w:spacing w:line="400" w:lineRule="exact"/>
        <w:ind w:firstLine="560" w:firstLineChars="200"/>
        <w:rPr>
          <w:rFonts w:ascii="仿宋" w:hAnsi="仿宋" w:eastAsia="仿宋"/>
          <w:sz w:val="28"/>
          <w:szCs w:val="28"/>
          <w:lang w:bidi="ar"/>
        </w:rPr>
      </w:pPr>
      <w:r>
        <w:rPr>
          <w:rFonts w:hint="eastAsia" w:ascii="仿宋" w:hAnsi="仿宋" w:eastAsia="仿宋"/>
          <w:sz w:val="28"/>
          <w:szCs w:val="28"/>
        </w:rPr>
        <w:t>采购需求：</w:t>
      </w:r>
    </w:p>
    <w:p w14:paraId="0A370852">
      <w:pPr>
        <w:spacing w:line="400" w:lineRule="exact"/>
        <w:ind w:firstLine="560" w:firstLineChars="200"/>
        <w:rPr>
          <w:rFonts w:ascii="仿宋" w:hAnsi="仿宋" w:eastAsia="仿宋"/>
          <w:sz w:val="28"/>
          <w:szCs w:val="28"/>
        </w:rPr>
      </w:pPr>
      <w:r>
        <w:rPr>
          <w:rFonts w:hint="eastAsia" w:ascii="仿宋" w:hAnsi="仿宋" w:eastAsia="仿宋"/>
          <w:sz w:val="28"/>
          <w:szCs w:val="28"/>
        </w:rPr>
        <w:t>设立在高淳校区，提供医疗机构执业许可证、办公需要的医疗用房、基本办公设备，详见项目需求。</w:t>
      </w:r>
    </w:p>
    <w:p w14:paraId="0BBC4839">
      <w:pPr>
        <w:spacing w:line="400" w:lineRule="exact"/>
        <w:ind w:firstLine="560" w:firstLineChars="200"/>
        <w:rPr>
          <w:rFonts w:ascii="仿宋" w:hAnsi="仿宋" w:eastAsia="仿宋"/>
          <w:sz w:val="28"/>
          <w:szCs w:val="28"/>
        </w:rPr>
      </w:pPr>
      <w:r>
        <w:rPr>
          <w:rFonts w:hint="eastAsia" w:ascii="仿宋" w:hAnsi="仿宋" w:eastAsia="仿宋"/>
          <w:sz w:val="28"/>
          <w:szCs w:val="28"/>
        </w:rPr>
        <w:t>本项目不接受联合体投标。</w:t>
      </w:r>
    </w:p>
    <w:p w14:paraId="2FAECA0E">
      <w:pPr>
        <w:spacing w:line="400" w:lineRule="exact"/>
        <w:ind w:firstLine="560" w:firstLineChars="200"/>
        <w:rPr>
          <w:rFonts w:eastAsia="仿宋"/>
        </w:rPr>
      </w:pPr>
      <w:r>
        <w:rPr>
          <w:rFonts w:hint="eastAsia" w:ascii="仿宋" w:hAnsi="仿宋" w:eastAsia="仿宋"/>
          <w:sz w:val="28"/>
          <w:szCs w:val="28"/>
        </w:rPr>
        <w:t>所属行业：租赁和商务服务业。</w:t>
      </w:r>
    </w:p>
    <w:p w14:paraId="18DDD626">
      <w:pPr>
        <w:pStyle w:val="3"/>
        <w:spacing w:line="360" w:lineRule="exact"/>
        <w:rPr>
          <w:rFonts w:ascii="仿宋" w:hAnsi="仿宋" w:eastAsia="仿宋"/>
          <w:sz w:val="28"/>
          <w:szCs w:val="28"/>
        </w:rPr>
      </w:pPr>
      <w:bookmarkStart w:id="12" w:name="_Toc35393622"/>
      <w:bookmarkStart w:id="13" w:name="_Toc28359003"/>
      <w:bookmarkStart w:id="14" w:name="_Toc35393791"/>
      <w:bookmarkStart w:id="15" w:name="_Toc28359080"/>
      <w:r>
        <w:rPr>
          <w:rFonts w:hint="eastAsia" w:ascii="黑体" w:hAnsi="黑体" w:cs="宋体"/>
          <w:b w:val="0"/>
          <w:sz w:val="28"/>
          <w:szCs w:val="28"/>
        </w:rPr>
        <w:t>二、申请人的资格要求：</w:t>
      </w:r>
      <w:bookmarkEnd w:id="12"/>
      <w:bookmarkEnd w:id="13"/>
      <w:bookmarkEnd w:id="14"/>
      <w:bookmarkEnd w:id="15"/>
    </w:p>
    <w:p w14:paraId="7B67E432">
      <w:pPr>
        <w:spacing w:line="400" w:lineRule="exact"/>
        <w:ind w:firstLine="560" w:firstLineChars="200"/>
        <w:rPr>
          <w:rFonts w:ascii="仿宋" w:hAnsi="仿宋" w:eastAsia="仿宋"/>
          <w:sz w:val="28"/>
          <w:szCs w:val="28"/>
        </w:rPr>
      </w:pPr>
      <w:r>
        <w:rPr>
          <w:rFonts w:hint="eastAsia" w:ascii="仿宋" w:hAnsi="仿宋" w:eastAsia="仿宋"/>
          <w:sz w:val="28"/>
          <w:szCs w:val="28"/>
        </w:rPr>
        <w:t>1.满足《中华人民共和国政府采购法》第二十二条规定：</w:t>
      </w:r>
    </w:p>
    <w:p w14:paraId="6C6CBFFF">
      <w:pPr>
        <w:spacing w:line="400" w:lineRule="exact"/>
        <w:ind w:firstLine="560" w:firstLineChars="200"/>
        <w:rPr>
          <w:rFonts w:ascii="仿宋" w:hAnsi="仿宋" w:eastAsia="仿宋"/>
          <w:sz w:val="28"/>
          <w:szCs w:val="28"/>
        </w:rPr>
      </w:pPr>
      <w:r>
        <w:rPr>
          <w:rFonts w:hint="eastAsia" w:ascii="仿宋" w:hAnsi="仿宋" w:eastAsia="仿宋"/>
          <w:sz w:val="28"/>
          <w:szCs w:val="28"/>
        </w:rPr>
        <w:t>1.1投标人必须是经国家有关部门批准，具有合法经营资质、符合《中华人民共和国政府采购法》第二十二条规定的独立法人或其他组织；</w:t>
      </w:r>
    </w:p>
    <w:p w14:paraId="7FC3CA38">
      <w:pPr>
        <w:spacing w:line="400" w:lineRule="exact"/>
        <w:ind w:firstLine="560" w:firstLineChars="200"/>
        <w:rPr>
          <w:rFonts w:ascii="仿宋" w:hAnsi="仿宋" w:eastAsia="仿宋"/>
          <w:sz w:val="28"/>
          <w:szCs w:val="28"/>
        </w:rPr>
      </w:pPr>
      <w:r>
        <w:rPr>
          <w:rFonts w:hint="eastAsia" w:ascii="仿宋" w:hAnsi="仿宋" w:eastAsia="仿宋"/>
          <w:sz w:val="28"/>
          <w:szCs w:val="28"/>
        </w:rPr>
        <w:t>1.2投标人需提供2024年度的财务状况报告（成立不满一年不需提供）；</w:t>
      </w:r>
    </w:p>
    <w:p w14:paraId="73A6F2D2">
      <w:pPr>
        <w:spacing w:line="400" w:lineRule="exact"/>
        <w:ind w:firstLine="560" w:firstLineChars="200"/>
        <w:rPr>
          <w:rFonts w:ascii="仿宋" w:hAnsi="仿宋" w:eastAsia="仿宋"/>
          <w:sz w:val="28"/>
          <w:szCs w:val="28"/>
        </w:rPr>
      </w:pPr>
      <w:r>
        <w:rPr>
          <w:rFonts w:hint="eastAsia" w:ascii="仿宋" w:hAnsi="仿宋" w:eastAsia="仿宋"/>
          <w:sz w:val="28"/>
          <w:szCs w:val="28"/>
        </w:rPr>
        <w:t>1.3投标人需提供依法缴纳税收和社会保障资金的相关材料；</w:t>
      </w:r>
    </w:p>
    <w:p w14:paraId="1652C23D">
      <w:pPr>
        <w:spacing w:line="400" w:lineRule="exact"/>
        <w:ind w:firstLine="560" w:firstLineChars="200"/>
        <w:rPr>
          <w:rFonts w:ascii="仿宋" w:hAnsi="仿宋" w:eastAsia="仿宋"/>
          <w:sz w:val="28"/>
          <w:szCs w:val="28"/>
        </w:rPr>
      </w:pPr>
      <w:r>
        <w:rPr>
          <w:rFonts w:hint="eastAsia" w:ascii="仿宋" w:hAnsi="仿宋" w:eastAsia="仿宋"/>
          <w:sz w:val="28"/>
          <w:szCs w:val="28"/>
        </w:rPr>
        <w:t>1.4投标人具有履行合同所必需的货物和专业技术能力的书面声明；</w:t>
      </w:r>
    </w:p>
    <w:p w14:paraId="5B657CAF">
      <w:pPr>
        <w:spacing w:line="400" w:lineRule="exact"/>
        <w:ind w:firstLine="560" w:firstLineChars="200"/>
        <w:rPr>
          <w:rFonts w:ascii="仿宋" w:hAnsi="仿宋" w:eastAsia="仿宋"/>
          <w:sz w:val="28"/>
          <w:szCs w:val="28"/>
        </w:rPr>
      </w:pPr>
      <w:r>
        <w:rPr>
          <w:rFonts w:hint="eastAsia" w:ascii="仿宋" w:hAnsi="仿宋" w:eastAsia="仿宋"/>
          <w:sz w:val="28"/>
          <w:szCs w:val="28"/>
        </w:rPr>
        <w:t>1.5投标人在经营活动中没有违法违规记录，近三年内没有被司法部门或行业主管部门处罚，提供书面声明；</w:t>
      </w:r>
    </w:p>
    <w:p w14:paraId="5ADAA5C8">
      <w:pPr>
        <w:spacing w:line="400" w:lineRule="exact"/>
        <w:ind w:firstLine="560" w:firstLineChars="200"/>
        <w:rPr>
          <w:rFonts w:ascii="仿宋" w:hAnsi="仿宋" w:eastAsia="仿宋"/>
          <w:sz w:val="28"/>
          <w:szCs w:val="28"/>
        </w:rPr>
      </w:pPr>
      <w:r>
        <w:rPr>
          <w:rFonts w:hint="eastAsia" w:ascii="仿宋" w:hAnsi="仿宋" w:eastAsia="仿宋"/>
          <w:sz w:val="28"/>
          <w:szCs w:val="28"/>
        </w:rPr>
        <w:t>1.6投标人须提供在“信用中国”（www.creditchina.gov.cn）查询的、自本采购公告发布之日至投标截止前的信用记录的截图（截图须加盖投标人</w:t>
      </w:r>
      <w:r>
        <w:rPr>
          <w:rFonts w:hint="eastAsia" w:ascii="仿宋" w:hAnsi="仿宋" w:eastAsia="仿宋"/>
          <w:sz w:val="28"/>
          <w:szCs w:val="28"/>
          <w:lang w:eastAsia="zh-CN"/>
        </w:rPr>
        <w:t>CA公章</w:t>
      </w:r>
      <w:r>
        <w:rPr>
          <w:rFonts w:hint="eastAsia" w:ascii="仿宋" w:hAnsi="仿宋" w:eastAsia="仿宋"/>
          <w:sz w:val="28"/>
          <w:szCs w:val="28"/>
        </w:rPr>
        <w:t>）；</w:t>
      </w:r>
    </w:p>
    <w:p w14:paraId="5EBCDBA8">
      <w:pPr>
        <w:spacing w:line="400" w:lineRule="exact"/>
        <w:ind w:firstLine="560" w:firstLineChars="200"/>
        <w:rPr>
          <w:rFonts w:ascii="仿宋" w:hAnsi="仿宋" w:eastAsia="仿宋"/>
          <w:sz w:val="28"/>
          <w:szCs w:val="28"/>
        </w:rPr>
      </w:pPr>
      <w:r>
        <w:rPr>
          <w:rFonts w:hint="eastAsia" w:ascii="仿宋" w:hAnsi="仿宋" w:eastAsia="仿宋"/>
          <w:sz w:val="28"/>
          <w:szCs w:val="28"/>
        </w:rPr>
        <w:t>1.7拒绝下述投标人参加本次采购活动：</w:t>
      </w:r>
    </w:p>
    <w:p w14:paraId="251596D1">
      <w:pPr>
        <w:spacing w:line="400" w:lineRule="exact"/>
        <w:ind w:firstLine="560" w:firstLineChars="200"/>
        <w:rPr>
          <w:rFonts w:ascii="仿宋" w:hAnsi="仿宋" w:eastAsia="仿宋"/>
          <w:sz w:val="28"/>
          <w:szCs w:val="28"/>
        </w:rPr>
      </w:pPr>
      <w:r>
        <w:rPr>
          <w:rFonts w:hint="eastAsia" w:ascii="仿宋" w:hAnsi="仿宋" w:eastAsia="仿宋"/>
          <w:sz w:val="28"/>
          <w:szCs w:val="28"/>
        </w:rPr>
        <w:t xml:space="preserve">（1）单位负责人为同一人或者存在直接控股、管理关系的不同投标人； </w:t>
      </w:r>
    </w:p>
    <w:p w14:paraId="28A0CFD8">
      <w:pPr>
        <w:spacing w:line="400" w:lineRule="exact"/>
        <w:ind w:firstLine="560" w:firstLineChars="200"/>
        <w:rPr>
          <w:rFonts w:ascii="仿宋" w:hAnsi="仿宋" w:eastAsia="仿宋"/>
          <w:sz w:val="28"/>
          <w:szCs w:val="28"/>
        </w:rPr>
      </w:pPr>
      <w:r>
        <w:rPr>
          <w:rFonts w:hint="eastAsia" w:ascii="仿宋" w:hAnsi="仿宋" w:eastAsia="仿宋"/>
          <w:sz w:val="28"/>
          <w:szCs w:val="28"/>
        </w:rPr>
        <w:t xml:space="preserve">（2）为采购项目提供整体设计、规范编制或者项目管理、监理、检测等服务的投标人； </w:t>
      </w:r>
    </w:p>
    <w:p w14:paraId="05B3C121">
      <w:pPr>
        <w:spacing w:line="400" w:lineRule="exact"/>
        <w:ind w:firstLine="560" w:firstLineChars="200"/>
        <w:rPr>
          <w:rFonts w:ascii="仿宋" w:hAnsi="仿宋" w:eastAsia="仿宋"/>
          <w:sz w:val="28"/>
          <w:szCs w:val="28"/>
        </w:rPr>
      </w:pPr>
      <w:r>
        <w:rPr>
          <w:rFonts w:hint="eastAsia" w:ascii="仿宋" w:hAnsi="仿宋" w:eastAsia="仿宋"/>
          <w:sz w:val="28"/>
          <w:szCs w:val="28"/>
        </w:rPr>
        <w:t>（3）投标人被“信用中国”网站（www.creditchina.gov.cn）、“中国政府采购网”</w:t>
      </w:r>
      <w:r>
        <w:rPr>
          <w:rFonts w:hint="eastAsia" w:ascii="仿宋" w:hAnsi="仿宋" w:eastAsia="仿宋"/>
          <w:sz w:val="28"/>
          <w:szCs w:val="28"/>
          <w:lang w:eastAsia="zh-CN"/>
        </w:rPr>
        <w:t>（</w:t>
      </w:r>
      <w:r>
        <w:rPr>
          <w:rFonts w:hint="eastAsia" w:ascii="仿宋" w:hAnsi="仿宋" w:eastAsia="仿宋"/>
          <w:sz w:val="28"/>
          <w:szCs w:val="28"/>
        </w:rPr>
        <w:t xml:space="preserve">ww.ccgp.gov.cn)列入失信被执行人、重大税收违法案件当事人名单、政府采购严重违法失信行为记录名单； </w:t>
      </w:r>
    </w:p>
    <w:p w14:paraId="6874C963">
      <w:pPr>
        <w:spacing w:line="400" w:lineRule="exact"/>
        <w:ind w:firstLine="560" w:firstLineChars="200"/>
        <w:rPr>
          <w:rFonts w:ascii="仿宋" w:hAnsi="仿宋" w:eastAsia="仿宋"/>
          <w:sz w:val="28"/>
          <w:szCs w:val="28"/>
        </w:rPr>
      </w:pPr>
      <w:r>
        <w:rPr>
          <w:rFonts w:hint="eastAsia" w:ascii="仿宋" w:hAnsi="仿宋" w:eastAsia="仿宋"/>
          <w:sz w:val="28"/>
          <w:szCs w:val="28"/>
        </w:rPr>
        <w:t xml:space="preserve">（4）投标人未提供《南京市政府采购投标人信用记录表暨信用承诺书》。 </w:t>
      </w:r>
    </w:p>
    <w:p w14:paraId="16C16758">
      <w:pPr>
        <w:spacing w:line="400" w:lineRule="exact"/>
        <w:ind w:firstLine="560" w:firstLineChars="200"/>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val="en-US" w:eastAsia="zh-CN"/>
        </w:rPr>
        <w:t>8</w:t>
      </w:r>
      <w:r>
        <w:rPr>
          <w:rFonts w:hint="eastAsia" w:ascii="仿宋" w:hAnsi="仿宋" w:eastAsia="仿宋"/>
          <w:sz w:val="28"/>
          <w:szCs w:val="28"/>
        </w:rPr>
        <w:t>政府采购信用承诺</w:t>
      </w:r>
    </w:p>
    <w:p w14:paraId="1C084C7A">
      <w:pPr>
        <w:spacing w:line="400" w:lineRule="exact"/>
        <w:ind w:firstLine="560" w:firstLineChars="200"/>
        <w:rPr>
          <w:rFonts w:ascii="仿宋" w:hAnsi="仿宋" w:eastAsia="仿宋"/>
          <w:sz w:val="28"/>
          <w:szCs w:val="28"/>
        </w:rPr>
      </w:pPr>
      <w:r>
        <w:rPr>
          <w:rFonts w:hint="eastAsia" w:ascii="仿宋" w:hAnsi="仿宋" w:eastAsia="仿宋"/>
          <w:sz w:val="28"/>
          <w:szCs w:val="28"/>
        </w:rPr>
        <w:t>根据《关于在政府采购活动中推行信用承诺制的通知》宁财购通〔2021〕5号规定，参加南京地区政府采购活动的投标人，应以书面形式向</w:t>
      </w:r>
      <w:r>
        <w:rPr>
          <w:rFonts w:hint="eastAsia" w:ascii="仿宋" w:hAnsi="仿宋" w:eastAsia="仿宋"/>
          <w:sz w:val="28"/>
          <w:szCs w:val="28"/>
          <w:lang w:eastAsia="zh-CN"/>
        </w:rPr>
        <w:t>招标人</w:t>
      </w:r>
      <w:r>
        <w:rPr>
          <w:rFonts w:hint="eastAsia" w:ascii="仿宋" w:hAnsi="仿宋" w:eastAsia="仿宋"/>
          <w:sz w:val="28"/>
          <w:szCs w:val="28"/>
        </w:rPr>
        <w:t>或政府采购代理机构作出信用承诺。投标人应尽早做好承诺工作，点击‘南京公共采购信息网’首页 （https://njgc.jfh.com/）‘南京市政府采购投标人诚信档案’系统链接打开系统页面（http://180.101.238.212:8280/hodeframe2018_cxda/index.action;jsessionid=769BA9C8E1729422E7173B991C8EC1E5）登录（未注册的投标人应先点击‘投标人注册点这里’并按 要求完成注册），然后在“信用记录”模块页面点击“信用记录打印”下载本单位《南京市政府采购投标人信用记录表暨信用承诺书》，由</w:t>
      </w:r>
      <w:r>
        <w:rPr>
          <w:rFonts w:hint="eastAsia" w:ascii="仿宋" w:hAnsi="仿宋" w:eastAsia="仿宋"/>
          <w:sz w:val="28"/>
          <w:szCs w:val="28"/>
          <w:lang w:eastAsia="zh-CN"/>
        </w:rPr>
        <w:t>法</w:t>
      </w:r>
      <w:r>
        <w:rPr>
          <w:rFonts w:hint="eastAsia" w:ascii="仿宋" w:hAnsi="仿宋" w:eastAsia="仿宋"/>
          <w:sz w:val="28"/>
          <w:szCs w:val="28"/>
          <w:lang w:val="en-US" w:eastAsia="zh-CN"/>
        </w:rPr>
        <w:t>人</w:t>
      </w:r>
      <w:r>
        <w:rPr>
          <w:rFonts w:hint="eastAsia" w:ascii="仿宋" w:hAnsi="仿宋" w:eastAsia="仿宋"/>
          <w:sz w:val="28"/>
          <w:szCs w:val="28"/>
          <w:lang w:eastAsia="zh-CN"/>
        </w:rPr>
        <w:t>代表签字</w:t>
      </w:r>
      <w:r>
        <w:rPr>
          <w:rFonts w:hint="eastAsia" w:ascii="仿宋" w:hAnsi="仿宋" w:eastAsia="仿宋"/>
          <w:sz w:val="28"/>
          <w:szCs w:val="28"/>
        </w:rPr>
        <w:t>盖单位投标人</w:t>
      </w:r>
      <w:r>
        <w:rPr>
          <w:rFonts w:hint="eastAsia" w:ascii="仿宋" w:hAnsi="仿宋" w:eastAsia="仿宋"/>
          <w:sz w:val="28"/>
          <w:szCs w:val="28"/>
          <w:lang w:eastAsia="zh-CN"/>
        </w:rPr>
        <w:t>CA公章</w:t>
      </w:r>
      <w:r>
        <w:rPr>
          <w:rFonts w:hint="eastAsia" w:ascii="仿宋" w:hAnsi="仿宋" w:eastAsia="仿宋"/>
          <w:sz w:val="28"/>
          <w:szCs w:val="28"/>
        </w:rPr>
        <w:t>，随投标文件一并递交。</w:t>
      </w:r>
    </w:p>
    <w:p w14:paraId="5439BB19">
      <w:pPr>
        <w:spacing w:line="400" w:lineRule="exact"/>
        <w:ind w:firstLine="560" w:firstLineChars="200"/>
        <w:rPr>
          <w:rFonts w:ascii="仿宋" w:hAnsi="仿宋" w:eastAsia="仿宋"/>
          <w:sz w:val="28"/>
          <w:szCs w:val="28"/>
        </w:rPr>
      </w:pPr>
      <w:r>
        <w:rPr>
          <w:rFonts w:hint="eastAsia" w:ascii="仿宋" w:hAnsi="仿宋" w:eastAsia="仿宋"/>
          <w:sz w:val="28"/>
          <w:szCs w:val="28"/>
        </w:rPr>
        <w:t>在政府采购资格审查环节，投标人只需提供书面《南京市政府采购投标人信用记录表暨信用承诺书》，即可替代以下证明材料:(1)符合国家相关规定的财务状况报告;(2)依法缴纳税收的证明材料;(3)依法缴纳社会保障资金的证明材料;(4)参加政府采购活动前三年内在经营活动中没有重大违法记录的证明材料;(5)未被列入失信被执行人、重大税收违法失信主体、政府采购严重违法失信行为记录名单的证明材料。投标人在中标</w:t>
      </w:r>
      <w:r>
        <w:rPr>
          <w:rFonts w:hint="eastAsia" w:ascii="仿宋" w:hAnsi="仿宋" w:eastAsia="仿宋"/>
          <w:sz w:val="28"/>
          <w:szCs w:val="28"/>
          <w:lang w:eastAsia="zh-CN"/>
        </w:rPr>
        <w:t>（</w:t>
      </w:r>
      <w:r>
        <w:rPr>
          <w:rFonts w:hint="eastAsia" w:ascii="仿宋" w:hAnsi="仿宋" w:eastAsia="仿宋"/>
          <w:sz w:val="28"/>
          <w:szCs w:val="28"/>
        </w:rPr>
        <w:t>交)后，应按采购文件要求，将上述由信用承诺书替代的证明材料提交</w:t>
      </w:r>
      <w:r>
        <w:rPr>
          <w:rFonts w:hint="eastAsia" w:ascii="仿宋" w:hAnsi="仿宋" w:eastAsia="仿宋"/>
          <w:sz w:val="28"/>
          <w:szCs w:val="28"/>
          <w:lang w:eastAsia="zh-CN"/>
        </w:rPr>
        <w:t>招标人</w:t>
      </w:r>
      <w:r>
        <w:rPr>
          <w:rFonts w:hint="eastAsia" w:ascii="仿宋" w:hAnsi="仿宋" w:eastAsia="仿宋"/>
          <w:sz w:val="28"/>
          <w:szCs w:val="28"/>
        </w:rPr>
        <w:t>或采购代理机构核验。经核验无误后。由</w:t>
      </w:r>
      <w:r>
        <w:rPr>
          <w:rFonts w:hint="eastAsia" w:ascii="仿宋" w:hAnsi="仿宋" w:eastAsia="仿宋"/>
          <w:sz w:val="28"/>
          <w:szCs w:val="28"/>
          <w:lang w:eastAsia="zh-CN"/>
        </w:rPr>
        <w:t>招标人</w:t>
      </w:r>
      <w:r>
        <w:rPr>
          <w:rFonts w:hint="eastAsia" w:ascii="仿宋" w:hAnsi="仿宋" w:eastAsia="仿宋"/>
          <w:sz w:val="28"/>
          <w:szCs w:val="28"/>
        </w:rPr>
        <w:t>或采购代理机构发出中标</w:t>
      </w:r>
      <w:r>
        <w:rPr>
          <w:rFonts w:hint="eastAsia" w:ascii="仿宋" w:hAnsi="仿宋" w:eastAsia="仿宋"/>
          <w:sz w:val="28"/>
          <w:szCs w:val="28"/>
          <w:lang w:eastAsia="zh-CN"/>
        </w:rPr>
        <w:t>（</w:t>
      </w:r>
      <w:r>
        <w:rPr>
          <w:rFonts w:hint="eastAsia" w:ascii="仿宋" w:hAnsi="仿宋" w:eastAsia="仿宋"/>
          <w:sz w:val="28"/>
          <w:szCs w:val="28"/>
        </w:rPr>
        <w:t>交)通知书。</w:t>
      </w:r>
    </w:p>
    <w:p w14:paraId="011D531A">
      <w:pPr>
        <w:spacing w:line="400" w:lineRule="exact"/>
        <w:ind w:firstLine="560" w:firstLineChars="200"/>
        <w:rPr>
          <w:rFonts w:ascii="仿宋" w:hAnsi="仿宋" w:eastAsia="仿宋"/>
          <w:sz w:val="28"/>
          <w:szCs w:val="28"/>
        </w:rPr>
      </w:pPr>
      <w:r>
        <w:rPr>
          <w:rFonts w:hint="eastAsia" w:ascii="仿宋" w:hAnsi="仿宋" w:eastAsia="仿宋"/>
          <w:sz w:val="28"/>
          <w:szCs w:val="28"/>
        </w:rPr>
        <w:t>投标人涉及以下情形的，不适用信用承诺:(1)投标人被列入严重失信主体名单;(2)被相关监管部门作出行政处罚且尚在处罚有效期内;(3)其他法律、行政法规规定的不适用信用承诺的情形。 投标人对信用承诺内容的真实性、合法性、有效性负责。如作出虚假信用承诺，视同为“提供虚假材料谋取中标、成交”的违法行为。</w:t>
      </w:r>
    </w:p>
    <w:p w14:paraId="7105D3CF">
      <w:pPr>
        <w:spacing w:line="400" w:lineRule="exact"/>
        <w:ind w:firstLine="560" w:firstLineChars="200"/>
        <w:rPr>
          <w:rFonts w:ascii="仿宋" w:hAnsi="仿宋" w:eastAsia="仿宋"/>
          <w:sz w:val="28"/>
          <w:szCs w:val="28"/>
        </w:rPr>
      </w:pPr>
      <w:bookmarkStart w:id="16" w:name="_Toc28359081"/>
      <w:bookmarkStart w:id="17" w:name="_Toc28359004"/>
      <w:r>
        <w:rPr>
          <w:rFonts w:hint="eastAsia" w:ascii="仿宋" w:hAnsi="仿宋" w:eastAsia="仿宋"/>
          <w:sz w:val="28"/>
          <w:szCs w:val="28"/>
        </w:rPr>
        <w:t>2.落实政府采购政策需满足的资格要求：</w:t>
      </w:r>
    </w:p>
    <w:p w14:paraId="7608B261">
      <w:pPr>
        <w:spacing w:line="400" w:lineRule="exact"/>
        <w:ind w:firstLine="560" w:firstLineChars="200"/>
        <w:rPr>
          <w:rFonts w:ascii="仿宋" w:hAnsi="仿宋" w:eastAsia="仿宋"/>
          <w:sz w:val="28"/>
          <w:szCs w:val="28"/>
        </w:rPr>
      </w:pPr>
      <w:r>
        <w:rPr>
          <w:rFonts w:hint="eastAsia" w:ascii="仿宋" w:hAnsi="仿宋" w:eastAsia="仿宋"/>
          <w:sz w:val="28"/>
          <w:szCs w:val="28"/>
        </w:rPr>
        <w:t>本项目按照以下第</w:t>
      </w:r>
      <w:r>
        <w:rPr>
          <w:rFonts w:hint="eastAsia" w:ascii="仿宋" w:hAnsi="仿宋" w:eastAsia="仿宋"/>
          <w:sz w:val="28"/>
          <w:szCs w:val="28"/>
          <w:lang w:eastAsia="zh-CN"/>
        </w:rPr>
        <w:t>（）</w:t>
      </w:r>
      <w:r>
        <w:rPr>
          <w:rFonts w:hint="eastAsia" w:ascii="仿宋" w:hAnsi="仿宋" w:eastAsia="仿宋"/>
          <w:sz w:val="28"/>
          <w:szCs w:val="28"/>
        </w:rPr>
        <w:t xml:space="preserve">种方式落实政府采购促进中小企业发展的要求： </w:t>
      </w:r>
    </w:p>
    <w:p w14:paraId="22BB92A7">
      <w:pPr>
        <w:spacing w:line="400" w:lineRule="exact"/>
        <w:ind w:firstLine="560" w:firstLineChars="200"/>
        <w:rPr>
          <w:rFonts w:ascii="仿宋" w:hAnsi="仿宋" w:eastAsia="仿宋"/>
          <w:sz w:val="28"/>
          <w:szCs w:val="28"/>
        </w:rPr>
      </w:pPr>
      <w:r>
        <w:rPr>
          <w:rFonts w:hint="eastAsia" w:ascii="仿宋" w:hAnsi="仿宋" w:eastAsia="仿宋"/>
          <w:sz w:val="28"/>
          <w:szCs w:val="28"/>
        </w:rPr>
        <w:t xml:space="preserve">（1）本项目整体专门面向中小企业采购服务。 </w:t>
      </w:r>
    </w:p>
    <w:p w14:paraId="0984F476">
      <w:pPr>
        <w:spacing w:line="400" w:lineRule="exact"/>
        <w:ind w:firstLine="560" w:firstLineChars="200"/>
        <w:rPr>
          <w:rFonts w:ascii="仿宋" w:hAnsi="仿宋" w:eastAsia="仿宋"/>
          <w:sz w:val="28"/>
          <w:szCs w:val="28"/>
        </w:rPr>
      </w:pPr>
      <w:r>
        <w:rPr>
          <w:rFonts w:hint="eastAsia" w:ascii="仿宋" w:hAnsi="仿宋" w:eastAsia="仿宋"/>
          <w:sz w:val="28"/>
          <w:szCs w:val="28"/>
        </w:rPr>
        <w:t xml:space="preserve">（2）本项目整体专门面向小微企业采购服务。 </w:t>
      </w:r>
    </w:p>
    <w:p w14:paraId="22D2A83D">
      <w:pPr>
        <w:spacing w:line="400" w:lineRule="exact"/>
        <w:ind w:firstLine="560" w:firstLineChars="200"/>
        <w:rPr>
          <w:rFonts w:ascii="仿宋" w:hAnsi="仿宋" w:eastAsia="仿宋"/>
          <w:sz w:val="28"/>
          <w:szCs w:val="28"/>
        </w:rPr>
      </w:pPr>
      <w:r>
        <w:rPr>
          <w:rFonts w:hint="eastAsia" w:ascii="仿宋" w:hAnsi="仿宋" w:eastAsia="仿宋"/>
          <w:sz w:val="28"/>
          <w:szCs w:val="28"/>
        </w:rPr>
        <w:t xml:space="preserve">（3）本项目通过以下第（/） 种方式预留部分采购份额采购中小企业服务： </w:t>
      </w:r>
    </w:p>
    <w:p w14:paraId="06A389F7">
      <w:pPr>
        <w:spacing w:line="400" w:lineRule="exact"/>
        <w:ind w:firstLine="560" w:firstLineChars="200"/>
        <w:rPr>
          <w:rFonts w:ascii="仿宋" w:hAnsi="仿宋" w:eastAsia="仿宋"/>
          <w:sz w:val="28"/>
          <w:szCs w:val="28"/>
        </w:rPr>
      </w:pPr>
      <w:r>
        <w:rPr>
          <w:rFonts w:hint="eastAsia" w:ascii="仿宋" w:hAnsi="仿宋" w:eastAsia="仿宋"/>
          <w:sz w:val="28"/>
          <w:szCs w:val="28"/>
        </w:rPr>
        <w:t>①要求投标人以联合体形式参加，企业合同金额应当达到的比例为</w:t>
      </w:r>
      <w:r>
        <w:rPr>
          <w:rFonts w:hint="eastAsia" w:ascii="仿宋" w:hAnsi="仿宋" w:eastAsia="仿宋"/>
          <w:sz w:val="28"/>
          <w:szCs w:val="28"/>
          <w:u w:val="single"/>
        </w:rPr>
        <w:t>/</w:t>
      </w:r>
      <w:r>
        <w:rPr>
          <w:rFonts w:hint="eastAsia" w:ascii="仿宋" w:hAnsi="仿宋" w:eastAsia="仿宋"/>
          <w:sz w:val="28"/>
          <w:szCs w:val="28"/>
        </w:rPr>
        <w:t xml:space="preserve">%。 </w:t>
      </w:r>
    </w:p>
    <w:p w14:paraId="5282C0E0">
      <w:pPr>
        <w:spacing w:line="400" w:lineRule="exact"/>
        <w:ind w:firstLine="560" w:firstLineChars="200"/>
        <w:rPr>
          <w:rFonts w:ascii="仿宋" w:hAnsi="仿宋" w:eastAsia="仿宋"/>
          <w:sz w:val="28"/>
          <w:szCs w:val="28"/>
        </w:rPr>
      </w:pPr>
      <w:r>
        <w:rPr>
          <w:rFonts w:hint="eastAsia" w:ascii="仿宋" w:hAnsi="仿宋" w:eastAsia="仿宋"/>
          <w:sz w:val="28"/>
          <w:szCs w:val="28"/>
        </w:rPr>
        <w:t>②要求投标人进行合同分包，企业合同金额应当达到的比例为</w:t>
      </w:r>
      <w:r>
        <w:rPr>
          <w:rFonts w:hint="eastAsia" w:ascii="仿宋" w:hAnsi="仿宋" w:eastAsia="仿宋"/>
          <w:sz w:val="28"/>
          <w:szCs w:val="28"/>
          <w:u w:val="single"/>
        </w:rPr>
        <w:t>/</w:t>
      </w:r>
      <w:r>
        <w:rPr>
          <w:rFonts w:hint="eastAsia" w:ascii="仿宋" w:hAnsi="仿宋" w:eastAsia="仿宋"/>
          <w:sz w:val="28"/>
          <w:szCs w:val="28"/>
        </w:rPr>
        <w:t xml:space="preserve">%。 </w:t>
      </w:r>
    </w:p>
    <w:p w14:paraId="4E81C396">
      <w:pPr>
        <w:spacing w:line="400" w:lineRule="exact"/>
        <w:ind w:firstLine="560" w:firstLineChars="200"/>
        <w:rPr>
          <w:rFonts w:ascii="仿宋" w:hAnsi="仿宋" w:eastAsia="仿宋"/>
          <w:sz w:val="28"/>
          <w:szCs w:val="28"/>
        </w:rPr>
      </w:pPr>
      <w:r>
        <w:rPr>
          <w:rFonts w:hint="eastAsia" w:ascii="仿宋" w:hAnsi="仿宋" w:eastAsia="仿宋"/>
          <w:sz w:val="28"/>
          <w:szCs w:val="28"/>
        </w:rPr>
        <w:t>（4）本项目为非预留份额的采购项目或采购包，执行价格扣除优惠政策，具体详见评标办法与标准。</w:t>
      </w:r>
    </w:p>
    <w:p w14:paraId="71856196">
      <w:pPr>
        <w:spacing w:line="400" w:lineRule="exact"/>
        <w:ind w:firstLine="560" w:firstLineChars="200"/>
        <w:rPr>
          <w:rFonts w:hint="eastAsia" w:ascii="仿宋" w:hAnsi="仿宋" w:eastAsia="仿宋"/>
          <w:sz w:val="28"/>
          <w:szCs w:val="28"/>
        </w:rPr>
      </w:pPr>
      <w:r>
        <w:rPr>
          <w:rFonts w:hint="eastAsia" w:ascii="仿宋" w:hAnsi="仿宋" w:eastAsia="仿宋"/>
          <w:sz w:val="28"/>
          <w:szCs w:val="28"/>
        </w:rPr>
        <w:t>3.本项目的特定资格要求：</w:t>
      </w:r>
    </w:p>
    <w:p w14:paraId="461CF408">
      <w:pPr>
        <w:spacing w:line="400" w:lineRule="exact"/>
        <w:ind w:firstLine="560" w:firstLineChars="200"/>
        <w:rPr>
          <w:rFonts w:hint="eastAsia"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1</w:t>
      </w:r>
      <w:r>
        <w:rPr>
          <w:rFonts w:hint="eastAsia" w:ascii="仿宋" w:hAnsi="仿宋" w:eastAsia="仿宋"/>
          <w:sz w:val="28"/>
          <w:szCs w:val="28"/>
          <w:lang w:eastAsia="zh-CN"/>
        </w:rPr>
        <w:t>）</w:t>
      </w:r>
      <w:r>
        <w:rPr>
          <w:rFonts w:hint="eastAsia" w:ascii="仿宋" w:hAnsi="仿宋" w:eastAsia="仿宋"/>
          <w:sz w:val="28"/>
          <w:szCs w:val="28"/>
        </w:rPr>
        <w:t>具有有效的医疗机构执业许可证</w:t>
      </w:r>
      <w:r>
        <w:rPr>
          <w:rFonts w:hint="eastAsia" w:ascii="仿宋" w:hAnsi="仿宋" w:eastAsia="仿宋"/>
          <w:sz w:val="28"/>
          <w:szCs w:val="28"/>
          <w:lang w:eastAsia="zh-CN"/>
        </w:rPr>
        <w:t>，诊疗科目含全科医疗科、预防保健科</w:t>
      </w:r>
      <w:r>
        <w:rPr>
          <w:rFonts w:hint="eastAsia" w:ascii="仿宋" w:hAnsi="仿宋" w:eastAsia="仿宋"/>
          <w:sz w:val="28"/>
          <w:szCs w:val="28"/>
          <w:lang w:val="en-US" w:eastAsia="zh-CN"/>
        </w:rPr>
        <w:t>等，提供证书复印件并加盖CA公章</w:t>
      </w:r>
      <w:r>
        <w:rPr>
          <w:rFonts w:hint="eastAsia" w:ascii="仿宋" w:hAnsi="仿宋" w:eastAsia="仿宋"/>
          <w:sz w:val="28"/>
          <w:szCs w:val="28"/>
        </w:rPr>
        <w:t>：</w:t>
      </w:r>
    </w:p>
    <w:p w14:paraId="2B1F6DEC">
      <w:pPr>
        <w:spacing w:line="40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lang w:eastAsia="zh-CN"/>
        </w:rPr>
        <w:t>（</w:t>
      </w:r>
      <w:r>
        <w:rPr>
          <w:rFonts w:hint="eastAsia" w:ascii="仿宋" w:hAnsi="仿宋" w:eastAsia="仿宋"/>
          <w:sz w:val="28"/>
          <w:szCs w:val="28"/>
          <w:lang w:val="en-US" w:eastAsia="zh-CN"/>
        </w:rPr>
        <w:t>2</w:t>
      </w:r>
      <w:r>
        <w:rPr>
          <w:rFonts w:hint="eastAsia" w:ascii="仿宋" w:hAnsi="仿宋" w:eastAsia="仿宋"/>
          <w:sz w:val="28"/>
          <w:szCs w:val="28"/>
          <w:lang w:eastAsia="zh-CN"/>
        </w:rPr>
        <w:t>）</w:t>
      </w:r>
      <w:r>
        <w:rPr>
          <w:rFonts w:hint="eastAsia" w:ascii="仿宋" w:hAnsi="仿宋" w:eastAsia="仿宋"/>
          <w:sz w:val="28"/>
          <w:szCs w:val="28"/>
        </w:rPr>
        <w:t>具有公立一级医院及以上资格</w:t>
      </w:r>
      <w:r>
        <w:rPr>
          <w:rFonts w:hint="eastAsia" w:ascii="仿宋" w:hAnsi="仿宋" w:eastAsia="仿宋"/>
          <w:sz w:val="28"/>
          <w:szCs w:val="28"/>
          <w:lang w:eastAsia="zh-CN"/>
        </w:rPr>
        <w:t>，</w:t>
      </w:r>
      <w:r>
        <w:rPr>
          <w:rFonts w:hint="eastAsia" w:ascii="仿宋" w:hAnsi="仿宋" w:eastAsia="仿宋"/>
          <w:sz w:val="28"/>
          <w:szCs w:val="28"/>
          <w:lang w:val="en-US" w:eastAsia="zh-CN"/>
        </w:rPr>
        <w:t>提供营业执照及一级医院证明复印件并加盖CA公章。</w:t>
      </w:r>
    </w:p>
    <w:p w14:paraId="00C74164">
      <w:pPr>
        <w:pStyle w:val="3"/>
        <w:spacing w:line="360" w:lineRule="exact"/>
        <w:rPr>
          <w:rFonts w:ascii="黑体" w:hAnsi="黑体" w:cs="宋体"/>
          <w:b w:val="0"/>
          <w:sz w:val="28"/>
          <w:szCs w:val="28"/>
        </w:rPr>
      </w:pPr>
      <w:bookmarkStart w:id="18" w:name="_Toc35393623"/>
      <w:bookmarkStart w:id="19" w:name="_Toc35393792"/>
      <w:r>
        <w:rPr>
          <w:rFonts w:hint="eastAsia" w:ascii="黑体" w:hAnsi="黑体" w:cs="宋体"/>
          <w:b w:val="0"/>
          <w:sz w:val="28"/>
          <w:szCs w:val="28"/>
        </w:rPr>
        <w:t>三、获取招标文件</w:t>
      </w:r>
      <w:bookmarkEnd w:id="16"/>
      <w:bookmarkEnd w:id="17"/>
      <w:bookmarkEnd w:id="18"/>
      <w:bookmarkEnd w:id="19"/>
    </w:p>
    <w:p w14:paraId="4C0483B5">
      <w:pPr>
        <w:spacing w:line="360" w:lineRule="exact"/>
        <w:ind w:firstLine="540"/>
        <w:rPr>
          <w:rFonts w:hint="eastAsia" w:ascii="仿宋" w:hAnsi="仿宋" w:eastAsia="仿宋" w:cs="宋体"/>
          <w:sz w:val="28"/>
          <w:szCs w:val="28"/>
        </w:rPr>
      </w:pPr>
      <w:r>
        <w:rPr>
          <w:rFonts w:hint="eastAsia" w:ascii="仿宋" w:hAnsi="仿宋" w:eastAsia="仿宋" w:cs="宋体"/>
          <w:sz w:val="28"/>
          <w:szCs w:val="28"/>
        </w:rPr>
        <w:t xml:space="preserve">时间：自招标文件公告发布之日起5个工作日 </w:t>
      </w:r>
    </w:p>
    <w:p w14:paraId="3376006A">
      <w:pPr>
        <w:spacing w:line="360" w:lineRule="exact"/>
        <w:ind w:firstLine="540"/>
        <w:rPr>
          <w:rFonts w:hint="eastAsia" w:ascii="仿宋" w:hAnsi="仿宋" w:eastAsia="仿宋" w:cs="宋体"/>
          <w:sz w:val="28"/>
          <w:szCs w:val="28"/>
        </w:rPr>
      </w:pPr>
      <w:r>
        <w:rPr>
          <w:rFonts w:hint="eastAsia" w:ascii="仿宋" w:hAnsi="仿宋" w:eastAsia="仿宋" w:cs="宋体"/>
          <w:sz w:val="28"/>
          <w:szCs w:val="28"/>
        </w:rPr>
        <w:t>地点：江苏政府采购网</w:t>
      </w:r>
    </w:p>
    <w:p w14:paraId="61173219">
      <w:pPr>
        <w:spacing w:line="360" w:lineRule="exact"/>
        <w:ind w:firstLine="540"/>
        <w:rPr>
          <w:rFonts w:ascii="仿宋" w:hAnsi="仿宋" w:eastAsia="仿宋" w:cs="宋体"/>
          <w:sz w:val="28"/>
          <w:szCs w:val="28"/>
          <w:u w:val="single"/>
        </w:rPr>
      </w:pPr>
      <w:r>
        <w:rPr>
          <w:rFonts w:hint="eastAsia" w:ascii="仿宋" w:hAnsi="仿宋" w:eastAsia="仿宋" w:cs="宋体"/>
          <w:sz w:val="28"/>
          <w:szCs w:val="28"/>
        </w:rPr>
        <w:t>方式：在“江苏政府采购网”免费下载。</w:t>
      </w:r>
      <w:r>
        <w:rPr>
          <w:rFonts w:hint="eastAsia" w:ascii="仿宋" w:hAnsi="仿宋" w:eastAsia="仿宋" w:cs="宋体"/>
          <w:sz w:val="28"/>
          <w:szCs w:val="28"/>
          <w:lang w:eastAsia="zh-CN"/>
        </w:rPr>
        <w:t>投标人</w:t>
      </w:r>
      <w:r>
        <w:rPr>
          <w:rFonts w:hint="eastAsia" w:ascii="仿宋" w:hAnsi="仿宋" w:eastAsia="仿宋" w:cs="宋体"/>
          <w:sz w:val="28"/>
          <w:szCs w:val="28"/>
        </w:rPr>
        <w:t>登录“江苏政府采购网”，在网站首页点击“苏采云”→使用CA锁登录系统</w:t>
      </w:r>
      <w:r>
        <w:rPr>
          <w:rFonts w:hint="eastAsia" w:ascii="仿宋" w:hAnsi="仿宋" w:eastAsia="仿宋" w:cs="宋体"/>
          <w:sz w:val="28"/>
          <w:szCs w:val="28"/>
          <w:lang w:eastAsia="zh-CN"/>
        </w:rPr>
        <w:t>（</w:t>
      </w:r>
      <w:r>
        <w:rPr>
          <w:rFonts w:hint="eastAsia" w:ascii="仿宋" w:hAnsi="仿宋" w:eastAsia="仿宋" w:cs="宋体"/>
          <w:sz w:val="28"/>
          <w:szCs w:val="28"/>
        </w:rPr>
        <w:t>新用户需进行“平台用户注册”)→“项目参与”进行登记，在“可参与项目”中选择“我要参与”，参与成功后到“已参与项目”界面中找到该项目下载文件并进行操作。</w:t>
      </w:r>
    </w:p>
    <w:p w14:paraId="6DDED778">
      <w:pPr>
        <w:pStyle w:val="3"/>
        <w:spacing w:line="360" w:lineRule="exact"/>
        <w:rPr>
          <w:rFonts w:ascii="黑体" w:hAnsi="黑体" w:cs="宋体"/>
          <w:b w:val="0"/>
          <w:sz w:val="28"/>
          <w:szCs w:val="28"/>
        </w:rPr>
      </w:pPr>
      <w:bookmarkStart w:id="20" w:name="_Toc28359005"/>
      <w:bookmarkStart w:id="21" w:name="_Toc28359082"/>
      <w:bookmarkStart w:id="22" w:name="_Toc35393624"/>
      <w:bookmarkStart w:id="23" w:name="_Toc35393793"/>
      <w:r>
        <w:rPr>
          <w:rFonts w:hint="eastAsia" w:ascii="黑体" w:hAnsi="黑体" w:cs="宋体"/>
          <w:b w:val="0"/>
          <w:sz w:val="28"/>
          <w:szCs w:val="28"/>
        </w:rPr>
        <w:t>四、提交投标文件</w:t>
      </w:r>
      <w:bookmarkEnd w:id="20"/>
      <w:bookmarkEnd w:id="21"/>
      <w:r>
        <w:rPr>
          <w:rFonts w:hint="eastAsia" w:ascii="黑体" w:hAnsi="黑体" w:cs="宋体"/>
          <w:b w:val="0"/>
          <w:sz w:val="28"/>
          <w:szCs w:val="28"/>
        </w:rPr>
        <w:t>截止时间、开标时间和地点</w:t>
      </w:r>
      <w:bookmarkEnd w:id="22"/>
      <w:bookmarkEnd w:id="23"/>
    </w:p>
    <w:p w14:paraId="5FE2245E">
      <w:pPr>
        <w:spacing w:line="360" w:lineRule="exact"/>
        <w:ind w:firstLine="560" w:firstLineChars="200"/>
        <w:rPr>
          <w:rFonts w:ascii="仿宋" w:hAnsi="仿宋" w:eastAsia="仿宋"/>
          <w:bCs/>
          <w:sz w:val="28"/>
          <w:szCs w:val="28"/>
          <w:highlight w:val="none"/>
          <w:u w:val="single"/>
        </w:rPr>
      </w:pPr>
      <w:r>
        <w:rPr>
          <w:rFonts w:hint="eastAsia" w:ascii="仿宋" w:hAnsi="仿宋" w:eastAsia="仿宋"/>
          <w:bCs/>
          <w:sz w:val="28"/>
          <w:szCs w:val="28"/>
          <w:highlight w:val="none"/>
          <w:u w:val="single"/>
        </w:rPr>
        <w:t xml:space="preserve"> 20</w:t>
      </w:r>
      <w:r>
        <w:rPr>
          <w:rFonts w:ascii="仿宋" w:hAnsi="仿宋" w:eastAsia="仿宋"/>
          <w:bCs/>
          <w:sz w:val="28"/>
          <w:szCs w:val="28"/>
          <w:highlight w:val="none"/>
          <w:u w:val="single"/>
        </w:rPr>
        <w:t>2</w:t>
      </w:r>
      <w:r>
        <w:rPr>
          <w:rFonts w:hint="eastAsia" w:ascii="仿宋" w:hAnsi="仿宋" w:eastAsia="仿宋"/>
          <w:bCs/>
          <w:sz w:val="28"/>
          <w:szCs w:val="28"/>
          <w:highlight w:val="none"/>
          <w:u w:val="single"/>
        </w:rPr>
        <w:t>6年</w:t>
      </w:r>
      <w:r>
        <w:rPr>
          <w:rFonts w:hint="eastAsia" w:ascii="仿宋" w:hAnsi="仿宋" w:eastAsia="仿宋"/>
          <w:bCs/>
          <w:sz w:val="28"/>
          <w:szCs w:val="28"/>
          <w:highlight w:val="none"/>
          <w:u w:val="single"/>
          <w:lang w:val="en-US" w:eastAsia="zh-CN"/>
        </w:rPr>
        <w:t>6</w:t>
      </w:r>
      <w:r>
        <w:rPr>
          <w:rFonts w:hint="eastAsia" w:ascii="仿宋" w:hAnsi="仿宋" w:eastAsia="仿宋"/>
          <w:bCs/>
          <w:sz w:val="28"/>
          <w:szCs w:val="28"/>
          <w:highlight w:val="none"/>
          <w:u w:val="single"/>
        </w:rPr>
        <w:t>月</w:t>
      </w:r>
      <w:r>
        <w:rPr>
          <w:rFonts w:hint="eastAsia" w:ascii="仿宋" w:hAnsi="仿宋" w:eastAsia="仿宋"/>
          <w:bCs/>
          <w:sz w:val="28"/>
          <w:szCs w:val="28"/>
          <w:highlight w:val="none"/>
          <w:u w:val="single"/>
          <w:lang w:val="en-US" w:eastAsia="zh-CN"/>
        </w:rPr>
        <w:t>2</w:t>
      </w:r>
      <w:r>
        <w:rPr>
          <w:rFonts w:hint="eastAsia" w:ascii="仿宋" w:hAnsi="仿宋" w:eastAsia="仿宋"/>
          <w:bCs/>
          <w:sz w:val="28"/>
          <w:szCs w:val="28"/>
          <w:highlight w:val="none"/>
          <w:u w:val="single"/>
        </w:rPr>
        <w:t>日</w:t>
      </w:r>
      <w:r>
        <w:rPr>
          <w:rFonts w:hint="eastAsia" w:ascii="仿宋" w:hAnsi="仿宋" w:eastAsia="仿宋"/>
          <w:bCs/>
          <w:sz w:val="28"/>
          <w:szCs w:val="28"/>
          <w:highlight w:val="none"/>
          <w:u w:val="single"/>
          <w:lang w:val="en-US" w:eastAsia="zh-CN"/>
        </w:rPr>
        <w:t>上</w:t>
      </w:r>
      <w:r>
        <w:rPr>
          <w:rFonts w:hint="eastAsia" w:ascii="仿宋" w:hAnsi="仿宋" w:eastAsia="仿宋"/>
          <w:bCs/>
          <w:sz w:val="28"/>
          <w:szCs w:val="28"/>
          <w:highlight w:val="none"/>
          <w:u w:val="single"/>
        </w:rPr>
        <w:t>午</w:t>
      </w:r>
      <w:r>
        <w:rPr>
          <w:rFonts w:hint="eastAsia" w:ascii="仿宋" w:hAnsi="仿宋" w:eastAsia="仿宋"/>
          <w:bCs/>
          <w:sz w:val="28"/>
          <w:szCs w:val="28"/>
          <w:highlight w:val="none"/>
          <w:u w:val="single"/>
          <w:lang w:val="en-US" w:eastAsia="zh-CN"/>
        </w:rPr>
        <w:t>9</w:t>
      </w:r>
      <w:r>
        <w:rPr>
          <w:rFonts w:hint="eastAsia" w:ascii="仿宋" w:hAnsi="仿宋" w:eastAsia="仿宋"/>
          <w:bCs/>
          <w:sz w:val="28"/>
          <w:szCs w:val="28"/>
          <w:highlight w:val="none"/>
          <w:u w:val="single"/>
        </w:rPr>
        <w:t>点30分</w:t>
      </w:r>
      <w:r>
        <w:rPr>
          <w:rFonts w:hint="eastAsia" w:ascii="仿宋" w:hAnsi="仿宋" w:eastAsia="仿宋"/>
          <w:bCs/>
          <w:sz w:val="28"/>
          <w:szCs w:val="28"/>
          <w:highlight w:val="none"/>
        </w:rPr>
        <w:t>（北京时间）</w:t>
      </w:r>
    </w:p>
    <w:p w14:paraId="09BD9E1F">
      <w:pPr>
        <w:spacing w:line="360" w:lineRule="exact"/>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地点：苏采云开标大厅</w:t>
      </w:r>
    </w:p>
    <w:p w14:paraId="0D9400C4">
      <w:pPr>
        <w:pStyle w:val="3"/>
        <w:spacing w:line="360" w:lineRule="exact"/>
        <w:rPr>
          <w:rFonts w:ascii="黑体" w:hAnsi="黑体" w:cs="宋体"/>
          <w:b w:val="0"/>
          <w:sz w:val="28"/>
          <w:szCs w:val="28"/>
        </w:rPr>
      </w:pPr>
      <w:bookmarkStart w:id="24" w:name="_Toc28359007"/>
      <w:bookmarkStart w:id="25" w:name="_Toc35393625"/>
      <w:bookmarkStart w:id="26" w:name="_Toc28359084"/>
      <w:bookmarkStart w:id="27" w:name="_Toc35393794"/>
      <w:r>
        <w:rPr>
          <w:rFonts w:hint="eastAsia" w:ascii="黑体" w:hAnsi="黑体" w:cs="宋体"/>
          <w:b w:val="0"/>
          <w:sz w:val="28"/>
          <w:szCs w:val="28"/>
        </w:rPr>
        <w:t>五、公告期限</w:t>
      </w:r>
      <w:bookmarkEnd w:id="24"/>
      <w:bookmarkEnd w:id="25"/>
      <w:bookmarkEnd w:id="26"/>
      <w:bookmarkEnd w:id="27"/>
    </w:p>
    <w:p w14:paraId="1D71295E">
      <w:pPr>
        <w:spacing w:line="36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自本公告发布之日起5个工作日。</w:t>
      </w:r>
      <w:bookmarkStart w:id="28" w:name="_Toc35393626"/>
      <w:bookmarkStart w:id="29" w:name="_Toc35393795"/>
    </w:p>
    <w:p w14:paraId="234AAC03">
      <w:pPr>
        <w:pStyle w:val="3"/>
        <w:spacing w:line="360" w:lineRule="exact"/>
        <w:rPr>
          <w:rFonts w:ascii="黑体" w:hAnsi="黑体" w:cs="宋体"/>
          <w:b w:val="0"/>
          <w:sz w:val="28"/>
          <w:szCs w:val="28"/>
        </w:rPr>
      </w:pPr>
      <w:r>
        <w:rPr>
          <w:rFonts w:hint="eastAsia" w:ascii="黑体" w:hAnsi="黑体" w:cs="宋体"/>
          <w:b w:val="0"/>
          <w:sz w:val="28"/>
          <w:szCs w:val="28"/>
        </w:rPr>
        <w:t>六、其他补充事宜</w:t>
      </w:r>
      <w:bookmarkEnd w:id="28"/>
      <w:bookmarkEnd w:id="29"/>
    </w:p>
    <w:p w14:paraId="129BB6DB">
      <w:pPr>
        <w:pStyle w:val="3"/>
        <w:spacing w:before="0" w:after="0" w:line="400" w:lineRule="exact"/>
        <w:ind w:firstLine="560" w:firstLineChars="200"/>
        <w:rPr>
          <w:rFonts w:hint="eastAsia" w:ascii="仿宋" w:hAnsi="仿宋" w:eastAsia="仿宋" w:cs="宋体"/>
          <w:b w:val="0"/>
          <w:bCs w:val="0"/>
          <w:kern w:val="0"/>
          <w:sz w:val="28"/>
          <w:szCs w:val="28"/>
        </w:rPr>
      </w:pPr>
      <w:bookmarkStart w:id="30" w:name="_Toc35393627"/>
      <w:bookmarkStart w:id="31" w:name="_Toc35393796"/>
      <w:bookmarkStart w:id="32" w:name="_Toc28359008"/>
      <w:bookmarkStart w:id="33" w:name="_Toc28359085"/>
      <w:r>
        <w:rPr>
          <w:rFonts w:hint="eastAsia" w:ascii="仿宋" w:hAnsi="仿宋" w:eastAsia="仿宋" w:cs="宋体"/>
          <w:b w:val="0"/>
          <w:bCs w:val="0"/>
          <w:kern w:val="0"/>
          <w:sz w:val="28"/>
          <w:szCs w:val="28"/>
        </w:rPr>
        <w:t>1.有关本次采购的事项若存在变动或修改，敬请及时关注“江苏政府采购网”发布的信息。</w:t>
      </w:r>
    </w:p>
    <w:p w14:paraId="0EF311A4">
      <w:pPr>
        <w:pStyle w:val="3"/>
        <w:spacing w:before="0" w:after="0" w:line="400" w:lineRule="exact"/>
        <w:ind w:firstLine="560" w:firstLineChars="200"/>
        <w:rPr>
          <w:rFonts w:hint="eastAsia" w:ascii="仿宋" w:hAnsi="仿宋" w:eastAsia="仿宋" w:cs="宋体"/>
          <w:b w:val="0"/>
          <w:bCs w:val="0"/>
          <w:kern w:val="0"/>
          <w:sz w:val="28"/>
          <w:szCs w:val="28"/>
        </w:rPr>
      </w:pPr>
      <w:r>
        <w:rPr>
          <w:rFonts w:hint="eastAsia" w:ascii="仿宋" w:hAnsi="仿宋" w:eastAsia="仿宋" w:cs="宋体"/>
          <w:b w:val="0"/>
          <w:bCs w:val="0"/>
          <w:kern w:val="0"/>
          <w:sz w:val="28"/>
          <w:szCs w:val="28"/>
          <w:lang w:val="en-US" w:eastAsia="zh-CN"/>
        </w:rPr>
        <w:t>2</w:t>
      </w:r>
      <w:r>
        <w:rPr>
          <w:rFonts w:hint="eastAsia" w:ascii="仿宋" w:hAnsi="仿宋" w:eastAsia="仿宋" w:cs="宋体"/>
          <w:b w:val="0"/>
          <w:bCs w:val="0"/>
          <w:kern w:val="0"/>
          <w:sz w:val="28"/>
          <w:szCs w:val="28"/>
        </w:rPr>
        <w:t>.“苏采云”政府采购交易系统（以下简称苏采云系统）使用江苏省电子政务证书认证中心CA数字证书和方正国际软件（北京）有限公司电子签章。</w:t>
      </w:r>
      <w:r>
        <w:rPr>
          <w:rFonts w:hint="eastAsia" w:ascii="仿宋" w:hAnsi="仿宋" w:eastAsia="仿宋" w:cs="宋体"/>
          <w:b w:val="0"/>
          <w:bCs w:val="0"/>
          <w:kern w:val="0"/>
          <w:sz w:val="28"/>
          <w:szCs w:val="28"/>
          <w:lang w:eastAsia="zh-CN"/>
        </w:rPr>
        <w:t>投标人</w:t>
      </w:r>
      <w:r>
        <w:rPr>
          <w:rFonts w:hint="eastAsia" w:ascii="仿宋" w:hAnsi="仿宋" w:eastAsia="仿宋" w:cs="宋体"/>
          <w:b w:val="0"/>
          <w:bCs w:val="0"/>
          <w:kern w:val="0"/>
          <w:sz w:val="28"/>
          <w:szCs w:val="28"/>
        </w:rPr>
        <w:t>通过苏采云系统参与政府采购项目，需要办理上述CA数字证书和电子签章（请至南京汉中门大街145号江苏省政务服务中心二期三楼大厅CA办理窗口（025-83668701）</w:t>
      </w:r>
      <w:r>
        <w:rPr>
          <w:rFonts w:hint="eastAsia" w:ascii="仿宋" w:hAnsi="仿宋" w:eastAsia="仿宋" w:cs="宋体"/>
          <w:b w:val="0"/>
          <w:bCs w:val="0"/>
          <w:kern w:val="0"/>
          <w:sz w:val="28"/>
          <w:szCs w:val="28"/>
          <w:highlight w:val="none"/>
        </w:rPr>
        <w:t>或南京江东中路265号南京市公共资源交易中心北门外1255室（025-68505941）办理）</w:t>
      </w:r>
      <w:r>
        <w:rPr>
          <w:rFonts w:hint="eastAsia" w:ascii="仿宋" w:hAnsi="仿宋" w:eastAsia="仿宋" w:cs="宋体"/>
          <w:b w:val="0"/>
          <w:bCs w:val="0"/>
          <w:kern w:val="0"/>
          <w:sz w:val="28"/>
          <w:szCs w:val="28"/>
        </w:rPr>
        <w:t>。具体联系方式见《苏采云系统</w:t>
      </w:r>
      <w:r>
        <w:rPr>
          <w:rFonts w:hint="eastAsia" w:ascii="仿宋" w:hAnsi="仿宋" w:eastAsia="仿宋" w:cs="宋体"/>
          <w:b w:val="0"/>
          <w:bCs w:val="0"/>
          <w:kern w:val="0"/>
          <w:sz w:val="28"/>
          <w:szCs w:val="28"/>
          <w:lang w:eastAsia="zh-CN"/>
        </w:rPr>
        <w:t>投标人</w:t>
      </w:r>
      <w:r>
        <w:rPr>
          <w:rFonts w:hint="eastAsia" w:ascii="仿宋" w:hAnsi="仿宋" w:eastAsia="仿宋" w:cs="宋体"/>
          <w:b w:val="0"/>
          <w:bCs w:val="0"/>
          <w:kern w:val="0"/>
          <w:sz w:val="28"/>
          <w:szCs w:val="28"/>
        </w:rPr>
        <w:t>操作手册》（以下简称《操作手册》）。</w:t>
      </w:r>
    </w:p>
    <w:p w14:paraId="517C16BA">
      <w:pPr>
        <w:pStyle w:val="3"/>
        <w:spacing w:before="0" w:after="0" w:line="400" w:lineRule="exact"/>
        <w:ind w:firstLine="560" w:firstLineChars="200"/>
        <w:rPr>
          <w:rFonts w:ascii="黑体" w:hAnsi="黑体" w:cs="宋体"/>
          <w:b w:val="0"/>
          <w:sz w:val="28"/>
          <w:szCs w:val="28"/>
        </w:rPr>
      </w:pPr>
      <w:r>
        <w:rPr>
          <w:rFonts w:hint="eastAsia" w:ascii="仿宋" w:hAnsi="仿宋" w:eastAsia="仿宋" w:cs="宋体"/>
          <w:b w:val="0"/>
          <w:bCs w:val="0"/>
          <w:kern w:val="0"/>
          <w:sz w:val="28"/>
          <w:szCs w:val="28"/>
          <w:lang w:eastAsia="zh-CN"/>
        </w:rPr>
        <w:t>投标人</w:t>
      </w:r>
      <w:r>
        <w:rPr>
          <w:rFonts w:hint="eastAsia" w:ascii="仿宋" w:hAnsi="仿宋" w:eastAsia="仿宋" w:cs="宋体"/>
          <w:b w:val="0"/>
          <w:bCs w:val="0"/>
          <w:kern w:val="0"/>
          <w:sz w:val="28"/>
          <w:szCs w:val="28"/>
        </w:rPr>
        <w:t>按《苏采云系统</w:t>
      </w:r>
      <w:r>
        <w:rPr>
          <w:rFonts w:hint="eastAsia" w:ascii="仿宋" w:hAnsi="仿宋" w:eastAsia="仿宋" w:cs="宋体"/>
          <w:b w:val="0"/>
          <w:bCs w:val="0"/>
          <w:kern w:val="0"/>
          <w:sz w:val="28"/>
          <w:szCs w:val="28"/>
          <w:lang w:eastAsia="zh-CN"/>
        </w:rPr>
        <w:t>投标人</w:t>
      </w:r>
      <w:r>
        <w:rPr>
          <w:rFonts w:hint="eastAsia" w:ascii="仿宋" w:hAnsi="仿宋" w:eastAsia="仿宋" w:cs="宋体"/>
          <w:b w:val="0"/>
          <w:bCs w:val="0"/>
          <w:kern w:val="0"/>
          <w:sz w:val="28"/>
          <w:szCs w:val="28"/>
        </w:rPr>
        <w:t>操作手册》要求进行注册，并制作上传电子投标文件（“苏采云”南京地区客服热线025-83633744、025-83633743）。江苏省政府采购管理交易系统</w:t>
      </w:r>
      <w:r>
        <w:rPr>
          <w:rFonts w:hint="eastAsia" w:ascii="仿宋" w:hAnsi="仿宋" w:eastAsia="仿宋" w:cs="宋体"/>
          <w:b w:val="0"/>
          <w:bCs w:val="0"/>
          <w:kern w:val="0"/>
          <w:sz w:val="28"/>
          <w:szCs w:val="28"/>
          <w:lang w:eastAsia="zh-CN"/>
        </w:rPr>
        <w:t>投标人</w:t>
      </w:r>
      <w:r>
        <w:rPr>
          <w:rFonts w:hint="eastAsia" w:ascii="仿宋" w:hAnsi="仿宋" w:eastAsia="仿宋" w:cs="宋体"/>
          <w:b w:val="0"/>
          <w:bCs w:val="0"/>
          <w:kern w:val="0"/>
          <w:sz w:val="28"/>
          <w:szCs w:val="28"/>
        </w:rPr>
        <w:t>操作指南，下载地址：http://www.ccgp-jiangsu.gov.cn/jiangsu/zlxz/ee/ee3a4bc5a3454aa2b0d9312230633ce9.html</w:t>
      </w:r>
    </w:p>
    <w:p w14:paraId="64A3932E">
      <w:pPr>
        <w:pStyle w:val="3"/>
        <w:spacing w:line="360" w:lineRule="exact"/>
        <w:rPr>
          <w:rFonts w:ascii="黑体" w:hAnsi="黑体" w:cs="宋体"/>
          <w:b w:val="0"/>
          <w:sz w:val="28"/>
          <w:szCs w:val="28"/>
        </w:rPr>
      </w:pPr>
      <w:r>
        <w:rPr>
          <w:rFonts w:hint="eastAsia" w:ascii="黑体" w:hAnsi="黑体" w:cs="宋体"/>
          <w:b w:val="0"/>
          <w:sz w:val="28"/>
          <w:szCs w:val="28"/>
        </w:rPr>
        <w:t>七、对本次招标提出询问，请按</w:t>
      </w:r>
      <w:r>
        <w:rPr>
          <w:rFonts w:ascii="黑体" w:hAnsi="黑体" w:cs="宋体"/>
          <w:b w:val="0"/>
          <w:sz w:val="28"/>
          <w:szCs w:val="28"/>
        </w:rPr>
        <w:t>以下方式</w:t>
      </w:r>
      <w:r>
        <w:rPr>
          <w:rFonts w:hint="eastAsia" w:ascii="黑体" w:hAnsi="黑体" w:cs="宋体"/>
          <w:b w:val="0"/>
          <w:sz w:val="28"/>
          <w:szCs w:val="28"/>
        </w:rPr>
        <w:t>联系。</w:t>
      </w:r>
      <w:bookmarkEnd w:id="30"/>
      <w:bookmarkEnd w:id="31"/>
      <w:bookmarkEnd w:id="32"/>
      <w:bookmarkEnd w:id="33"/>
    </w:p>
    <w:p w14:paraId="3CC20D1F">
      <w:pPr>
        <w:widowControl/>
        <w:spacing w:line="400" w:lineRule="exact"/>
        <w:rPr>
          <w:rFonts w:ascii="仿宋_GB2312" w:eastAsia="仿宋_GB2312"/>
          <w:sz w:val="28"/>
          <w:szCs w:val="28"/>
        </w:rPr>
      </w:pPr>
      <w:r>
        <w:rPr>
          <w:rFonts w:hint="eastAsia" w:ascii="仿宋" w:hAnsi="仿宋" w:eastAsia="仿宋" w:cs="宋体"/>
          <w:sz w:val="28"/>
          <w:szCs w:val="28"/>
        </w:rPr>
        <w:t>　　1.</w:t>
      </w:r>
      <w:r>
        <w:rPr>
          <w:rFonts w:hint="eastAsia" w:ascii="仿宋" w:hAnsi="仿宋" w:eastAsia="仿宋" w:cs="宋体"/>
          <w:sz w:val="28"/>
          <w:szCs w:val="28"/>
          <w:lang w:eastAsia="zh-CN"/>
        </w:rPr>
        <w:t>招标人</w:t>
      </w:r>
      <w:r>
        <w:rPr>
          <w:rFonts w:hint="eastAsia" w:ascii="仿宋" w:hAnsi="仿宋" w:eastAsia="仿宋" w:cs="宋体"/>
          <w:sz w:val="28"/>
          <w:szCs w:val="28"/>
        </w:rPr>
        <w:t>信息</w:t>
      </w:r>
    </w:p>
    <w:p w14:paraId="318B9C03">
      <w:pPr>
        <w:spacing w:line="400" w:lineRule="exact"/>
        <w:ind w:firstLine="560" w:firstLineChars="2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南京机电职业技术学院　</w:t>
      </w:r>
    </w:p>
    <w:p w14:paraId="5334F2E0">
      <w:pPr>
        <w:spacing w:line="400" w:lineRule="exact"/>
        <w:ind w:firstLine="560" w:firstLineChars="200"/>
        <w:rPr>
          <w:rFonts w:ascii="仿宋" w:hAnsi="仿宋" w:eastAsia="仿宋"/>
          <w:sz w:val="28"/>
          <w:szCs w:val="28"/>
        </w:rPr>
      </w:pPr>
      <w:r>
        <w:rPr>
          <w:rFonts w:hint="eastAsia" w:ascii="仿宋" w:hAnsi="仿宋" w:eastAsia="仿宋"/>
          <w:sz w:val="28"/>
          <w:szCs w:val="28"/>
        </w:rPr>
        <w:t>地址：</w:t>
      </w:r>
      <w:r>
        <w:rPr>
          <w:rFonts w:hint="eastAsia" w:ascii="仿宋" w:hAnsi="仿宋" w:eastAsia="仿宋"/>
          <w:sz w:val="28"/>
          <w:szCs w:val="28"/>
          <w:u w:val="single"/>
        </w:rPr>
        <w:t xml:space="preserve">　南京市高淳区古柏街道鹿鸣大道33号  </w:t>
      </w:r>
    </w:p>
    <w:p w14:paraId="74F0FAA6">
      <w:pPr>
        <w:spacing w:line="400" w:lineRule="exact"/>
        <w:ind w:firstLine="560" w:firstLineChars="200"/>
        <w:rPr>
          <w:rFonts w:ascii="仿宋" w:hAnsi="仿宋" w:eastAsia="仿宋"/>
          <w:sz w:val="28"/>
          <w:szCs w:val="28"/>
          <w:highlight w:val="yellow"/>
          <w:u w:val="single"/>
        </w:rPr>
      </w:pPr>
      <w:r>
        <w:rPr>
          <w:rFonts w:hint="eastAsia" w:ascii="仿宋" w:hAnsi="仿宋" w:eastAsia="仿宋"/>
          <w:sz w:val="28"/>
          <w:szCs w:val="28"/>
          <w:highlight w:val="none"/>
        </w:rPr>
        <w:t>联系方式：</w:t>
      </w:r>
      <w:r>
        <w:rPr>
          <w:rFonts w:hint="eastAsia" w:ascii="仿宋" w:hAnsi="仿宋" w:eastAsia="仿宋"/>
          <w:sz w:val="28"/>
          <w:szCs w:val="28"/>
          <w:highlight w:val="none"/>
          <w:u w:val="single"/>
        </w:rPr>
        <w:t>　</w:t>
      </w:r>
      <w:bookmarkStart w:id="34" w:name="_Toc28359009"/>
      <w:bookmarkStart w:id="35" w:name="_Toc28359086"/>
      <w:r>
        <w:rPr>
          <w:rFonts w:hint="eastAsia" w:ascii="仿宋" w:hAnsi="仿宋" w:eastAsia="仿宋"/>
          <w:sz w:val="28"/>
          <w:szCs w:val="28"/>
          <w:highlight w:val="none"/>
          <w:u w:val="single"/>
        </w:rPr>
        <w:t xml:space="preserve">孙老师18061231119  </w:t>
      </w:r>
    </w:p>
    <w:p w14:paraId="17290667">
      <w:pPr>
        <w:spacing w:line="400" w:lineRule="exact"/>
        <w:ind w:firstLine="560" w:firstLineChars="200"/>
        <w:rPr>
          <w:rFonts w:ascii="仿宋" w:hAnsi="仿宋" w:eastAsia="仿宋"/>
          <w:sz w:val="28"/>
          <w:szCs w:val="28"/>
        </w:rPr>
      </w:pPr>
      <w:r>
        <w:rPr>
          <w:rFonts w:hint="eastAsia" w:ascii="仿宋" w:hAnsi="仿宋" w:eastAsia="仿宋" w:cs="宋体"/>
          <w:sz w:val="28"/>
          <w:szCs w:val="28"/>
        </w:rPr>
        <w:t>2.采购代理机构信息</w:t>
      </w:r>
      <w:bookmarkEnd w:id="34"/>
      <w:bookmarkEnd w:id="35"/>
    </w:p>
    <w:p w14:paraId="244716AA">
      <w:pPr>
        <w:spacing w:line="400" w:lineRule="exact"/>
        <w:ind w:firstLine="560" w:firstLineChars="2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sz w:val="28"/>
          <w:szCs w:val="28"/>
          <w:u w:val="single"/>
        </w:rPr>
        <w:t>　中通服咨询设计研究院有限公司　</w:t>
      </w:r>
    </w:p>
    <w:p w14:paraId="7475F580">
      <w:pPr>
        <w:spacing w:line="400" w:lineRule="exact"/>
        <w:ind w:firstLine="560" w:firstLineChars="2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sz w:val="28"/>
          <w:szCs w:val="28"/>
          <w:u w:val="single"/>
        </w:rPr>
        <w:t>　南京市建邺区楠溪江东街58号　</w:t>
      </w:r>
    </w:p>
    <w:p w14:paraId="0DCB0DDC">
      <w:pPr>
        <w:spacing w:line="400" w:lineRule="exact"/>
        <w:ind w:firstLine="560" w:firstLineChars="200"/>
        <w:rPr>
          <w:rFonts w:ascii="仿宋" w:hAnsi="仿宋" w:eastAsia="仿宋"/>
          <w:sz w:val="28"/>
          <w:szCs w:val="28"/>
        </w:rPr>
      </w:pPr>
      <w:r>
        <w:rPr>
          <w:rFonts w:hint="eastAsia" w:ascii="仿宋" w:hAnsi="仿宋" w:eastAsia="仿宋"/>
          <w:sz w:val="28"/>
          <w:szCs w:val="28"/>
        </w:rPr>
        <w:t>联系方式：</w:t>
      </w:r>
      <w:bookmarkStart w:id="36" w:name="_Toc28359087"/>
      <w:bookmarkStart w:id="37" w:name="_Toc28359010"/>
      <w:r>
        <w:rPr>
          <w:rFonts w:hint="eastAsia" w:ascii="仿宋" w:hAnsi="仿宋" w:eastAsia="仿宋"/>
          <w:sz w:val="28"/>
          <w:szCs w:val="28"/>
          <w:u w:val="single"/>
        </w:rPr>
        <w:t xml:space="preserve"> 陈沭、郑春雅、</w:t>
      </w:r>
      <w:bookmarkEnd w:id="36"/>
      <w:bookmarkEnd w:id="37"/>
      <w:r>
        <w:rPr>
          <w:rFonts w:hint="eastAsia" w:ascii="仿宋" w:hAnsi="仿宋" w:eastAsia="仿宋"/>
          <w:sz w:val="28"/>
          <w:szCs w:val="28"/>
          <w:u w:val="single"/>
        </w:rPr>
        <w:t>李谦、徐磊、胡洋、夏宜宁、朱晓琦、周明珠</w:t>
      </w:r>
    </w:p>
    <w:p w14:paraId="5C19F2A5">
      <w:pPr>
        <w:spacing w:line="400" w:lineRule="exact"/>
        <w:ind w:firstLine="560" w:firstLineChars="200"/>
        <w:rPr>
          <w:rFonts w:ascii="仿宋" w:hAnsi="仿宋" w:eastAsia="仿宋" w:cs="宋体"/>
          <w:sz w:val="28"/>
          <w:szCs w:val="28"/>
        </w:rPr>
      </w:pPr>
      <w:bookmarkStart w:id="38" w:name="_Toc28359077"/>
      <w:bookmarkStart w:id="39" w:name="_Toc35393619"/>
      <w:bookmarkStart w:id="40" w:name="_Toc35393788"/>
      <w:bookmarkStart w:id="41" w:name="_Toc28359000"/>
      <w:r>
        <w:rPr>
          <w:rFonts w:hint="eastAsia" w:ascii="仿宋" w:hAnsi="仿宋" w:eastAsia="仿宋" w:cs="宋体"/>
          <w:sz w:val="28"/>
          <w:szCs w:val="28"/>
        </w:rPr>
        <w:t>3.项目联系方式</w:t>
      </w:r>
      <w:bookmarkEnd w:id="38"/>
      <w:bookmarkEnd w:id="39"/>
      <w:bookmarkEnd w:id="40"/>
      <w:bookmarkEnd w:id="41"/>
    </w:p>
    <w:p w14:paraId="571A0144">
      <w:pPr>
        <w:spacing w:line="400" w:lineRule="exact"/>
        <w:ind w:firstLine="560" w:firstLineChars="200"/>
        <w:rPr>
          <w:rFonts w:ascii="仿宋" w:hAnsi="仿宋" w:eastAsia="仿宋" w:cs="宋体"/>
          <w:sz w:val="28"/>
          <w:szCs w:val="28"/>
        </w:rPr>
      </w:pPr>
      <w:r>
        <w:rPr>
          <w:rFonts w:hint="eastAsia" w:ascii="仿宋" w:hAnsi="仿宋" w:eastAsia="仿宋" w:cs="宋体"/>
          <w:sz w:val="28"/>
          <w:szCs w:val="28"/>
        </w:rPr>
        <w:t>项目联系人：</w:t>
      </w:r>
      <w:r>
        <w:rPr>
          <w:rFonts w:hint="eastAsia" w:ascii="仿宋" w:hAnsi="仿宋" w:eastAsia="仿宋" w:cs="宋体"/>
          <w:sz w:val="28"/>
          <w:szCs w:val="28"/>
          <w:u w:val="single"/>
        </w:rPr>
        <w:t xml:space="preserve"> 陈沭 </w:t>
      </w:r>
    </w:p>
    <w:p w14:paraId="41C043D1">
      <w:pPr>
        <w:spacing w:line="400" w:lineRule="exact"/>
        <w:ind w:firstLine="560" w:firstLineChars="200"/>
        <w:rPr>
          <w:lang w:val="zh-TW"/>
        </w:rPr>
      </w:pPr>
      <w:r>
        <w:rPr>
          <w:rFonts w:hint="eastAsia" w:ascii="仿宋" w:hAnsi="仿宋" w:eastAsia="仿宋" w:cs="宋体"/>
          <w:sz w:val="28"/>
          <w:szCs w:val="28"/>
        </w:rPr>
        <w:t>电　话：</w:t>
      </w:r>
      <w:r>
        <w:rPr>
          <w:rFonts w:hint="eastAsia" w:ascii="仿宋" w:hAnsi="仿宋" w:eastAsia="仿宋" w:cs="宋体"/>
          <w:sz w:val="28"/>
          <w:szCs w:val="28"/>
          <w:u w:val="single"/>
        </w:rPr>
        <w:t xml:space="preserve">  13913913997  </w:t>
      </w:r>
      <w:bookmarkEnd w:id="10"/>
      <w:r>
        <w:rPr>
          <w:rFonts w:hint="eastAsia" w:ascii="仿宋" w:hAnsi="仿宋" w:eastAsia="仿宋" w:cs="宋体"/>
          <w:sz w:val="28"/>
          <w:szCs w:val="28"/>
        </w:rPr>
        <w:t>　　　　　　　　　　</w:t>
      </w:r>
      <w:bookmarkStart w:id="42" w:name="_Toc415494524"/>
      <w:bookmarkStart w:id="43" w:name="_Toc1"/>
      <w:bookmarkStart w:id="44" w:name="_Toc448069941"/>
      <w:bookmarkStart w:id="45" w:name="_Toc11859486"/>
    </w:p>
    <w:p w14:paraId="45DEED71">
      <w:pPr>
        <w:jc w:val="left"/>
        <w:rPr>
          <w:rFonts w:ascii="黑体" w:hAnsi="黑体" w:eastAsia="黑体" w:cs="黑体"/>
          <w:color w:val="000000" w:themeColor="text1"/>
          <w:kern w:val="44"/>
          <w:sz w:val="36"/>
          <w:szCs w:val="36"/>
          <w:u w:color="000000"/>
          <w:lang w:val="zh-TW"/>
          <w14:textFill>
            <w14:solidFill>
              <w14:schemeClr w14:val="tx1"/>
            </w14:solidFill>
          </w14:textFill>
        </w:rPr>
      </w:pPr>
      <w:r>
        <w:rPr>
          <w:rFonts w:ascii="黑体" w:hAnsi="黑体" w:eastAsia="黑体" w:cs="黑体"/>
          <w:color w:val="000000" w:themeColor="text1"/>
          <w:kern w:val="44"/>
          <w:sz w:val="36"/>
          <w:szCs w:val="36"/>
          <w:u w:color="000000"/>
          <w:lang w:val="zh-TW"/>
          <w14:textFill>
            <w14:solidFill>
              <w14:schemeClr w14:val="tx1"/>
            </w14:solidFill>
          </w14:textFill>
        </w:rPr>
        <w:br w:type="page"/>
      </w:r>
    </w:p>
    <w:p w14:paraId="1D0BBBC5">
      <w:pPr>
        <w:jc w:val="center"/>
        <w:rPr>
          <w:rFonts w:ascii="黑体" w:hAnsi="黑体" w:eastAsia="黑体" w:cs="黑体"/>
          <w:color w:val="000000" w:themeColor="text1"/>
          <w:kern w:val="44"/>
          <w:sz w:val="36"/>
          <w:szCs w:val="36"/>
          <w:u w:color="000000"/>
          <w:lang w:val="zh-TW"/>
          <w14:textFill>
            <w14:solidFill>
              <w14:schemeClr w14:val="tx1"/>
            </w14:solidFill>
          </w14:textFill>
        </w:rPr>
      </w:pPr>
      <w:r>
        <w:rPr>
          <w:rFonts w:ascii="黑体" w:hAnsi="黑体" w:eastAsia="黑体" w:cs="黑体"/>
          <w:color w:val="000000" w:themeColor="text1"/>
          <w:kern w:val="44"/>
          <w:sz w:val="36"/>
          <w:szCs w:val="36"/>
          <w:u w:color="000000"/>
          <w:lang w:val="zh-TW"/>
          <w14:textFill>
            <w14:solidFill>
              <w14:schemeClr w14:val="tx1"/>
            </w14:solidFill>
          </w14:textFill>
        </w:rPr>
        <w:t xml:space="preserve">第二章  </w:t>
      </w:r>
      <w:r>
        <w:rPr>
          <w:rFonts w:hint="eastAsia" w:ascii="黑体" w:hAnsi="黑体" w:eastAsia="黑体" w:cs="黑体"/>
          <w:color w:val="000000" w:themeColor="text1"/>
          <w:kern w:val="44"/>
          <w:sz w:val="36"/>
          <w:szCs w:val="36"/>
          <w:u w:color="000000"/>
          <w:lang w:val="zh-TW"/>
          <w14:textFill>
            <w14:solidFill>
              <w14:schemeClr w14:val="tx1"/>
            </w14:solidFill>
          </w14:textFill>
        </w:rPr>
        <w:t>投标人</w:t>
      </w:r>
      <w:r>
        <w:rPr>
          <w:rFonts w:ascii="黑体" w:hAnsi="黑体" w:eastAsia="黑体" w:cs="黑体"/>
          <w:color w:val="000000" w:themeColor="text1"/>
          <w:kern w:val="44"/>
          <w:sz w:val="36"/>
          <w:szCs w:val="36"/>
          <w:u w:color="000000"/>
          <w:lang w:val="zh-TW"/>
          <w14:textFill>
            <w14:solidFill>
              <w14:schemeClr w14:val="tx1"/>
            </w14:solidFill>
          </w14:textFill>
        </w:rPr>
        <w:t>须知</w:t>
      </w:r>
      <w:bookmarkEnd w:id="42"/>
      <w:bookmarkEnd w:id="43"/>
      <w:bookmarkEnd w:id="44"/>
      <w:bookmarkEnd w:id="45"/>
    </w:p>
    <w:p w14:paraId="702F831F">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一、总则</w:t>
      </w:r>
    </w:p>
    <w:p w14:paraId="332324E5">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w:t>
      </w:r>
      <w:r>
        <w:rPr>
          <w:rFonts w:ascii="Times New Roman" w:hAnsi="Times New Roman" w:cs="Times New Roman"/>
          <w:b/>
          <w:color w:val="000000" w:themeColor="text1"/>
          <w:sz w:val="24"/>
          <w:szCs w:val="24"/>
          <w14:textFill>
            <w14:solidFill>
              <w14:schemeClr w14:val="tx1"/>
            </w14:solidFill>
          </w14:textFill>
        </w:rPr>
        <w:t>采购方式</w:t>
      </w:r>
    </w:p>
    <w:p w14:paraId="2F94ADE0">
      <w:pPr>
        <w:adjustRightInd w:val="0"/>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1.1本次采购采用</w:t>
      </w:r>
      <w:r>
        <w:rPr>
          <w:rFonts w:hint="eastAsia" w:ascii="Times New Roman" w:hAnsi="Times New Roman" w:cs="Times New Roman"/>
          <w:color w:val="000000" w:themeColor="text1"/>
          <w:sz w:val="24"/>
          <w:szCs w:val="24"/>
          <w:lang w:eastAsia="zh-CN"/>
          <w14:textFill>
            <w14:solidFill>
              <w14:schemeClr w14:val="tx1"/>
            </w14:solidFill>
          </w14:textFill>
        </w:rPr>
        <w:t>公开招标方</w:t>
      </w:r>
      <w:r>
        <w:rPr>
          <w:rFonts w:ascii="Times New Roman" w:hAnsi="Times New Roman" w:cs="Times New Roman"/>
          <w:color w:val="000000" w:themeColor="text1"/>
          <w:sz w:val="24"/>
          <w:szCs w:val="24"/>
          <w14:textFill>
            <w14:solidFill>
              <w14:schemeClr w14:val="tx1"/>
            </w14:solidFill>
          </w14:textFill>
        </w:rPr>
        <w:t>式，本采购文件仅适用于采购公告中所述项目。</w:t>
      </w:r>
    </w:p>
    <w:p w14:paraId="22C17EB6">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w:t>
      </w:r>
      <w:r>
        <w:rPr>
          <w:rFonts w:ascii="Times New Roman" w:hAnsi="Times New Roman" w:cs="Times New Roman"/>
          <w:b/>
          <w:color w:val="000000" w:themeColor="text1"/>
          <w:sz w:val="24"/>
          <w:szCs w:val="24"/>
          <w14:textFill>
            <w14:solidFill>
              <w14:schemeClr w14:val="tx1"/>
            </w14:solidFill>
          </w14:textFill>
        </w:rPr>
        <w:t>合格的投标人</w:t>
      </w:r>
    </w:p>
    <w:p w14:paraId="251B83F6">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2.1满足采购公告中投标人资质要求的规定。</w:t>
      </w:r>
    </w:p>
    <w:p w14:paraId="61A2C7D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2.2 满足本文件实质性条款的规定。</w:t>
      </w:r>
    </w:p>
    <w:p w14:paraId="6CAD23CE">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3.</w:t>
      </w:r>
      <w:r>
        <w:rPr>
          <w:rFonts w:ascii="Times New Roman" w:hAnsi="Times New Roman" w:cs="Times New Roman"/>
          <w:b/>
          <w:color w:val="000000" w:themeColor="text1"/>
          <w:sz w:val="24"/>
          <w:szCs w:val="24"/>
          <w14:textFill>
            <w14:solidFill>
              <w14:schemeClr w14:val="tx1"/>
            </w14:solidFill>
          </w14:textFill>
        </w:rPr>
        <w:t>适用法律</w:t>
      </w:r>
    </w:p>
    <w:p w14:paraId="29563B0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3.1.1本次采购及由本次采购产生的合同受中华人民共和国有关法律法规制约和保护。</w:t>
      </w:r>
    </w:p>
    <w:p w14:paraId="6000F22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3.1.2 在本项目政府采购活动过程中，如果所执行的标准有更新的，按照最新标准执行。</w:t>
      </w:r>
    </w:p>
    <w:p w14:paraId="766AE3F7">
      <w:pPr>
        <w:snapToGrid w:val="0"/>
        <w:spacing w:line="360" w:lineRule="auto"/>
        <w:ind w:firstLine="48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3.2 政策功能</w:t>
      </w:r>
    </w:p>
    <w:p w14:paraId="193166B7">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3.2.1 促进中小企业发展。在政府采购活动中，投标人提供的货物、工程或者服务符合下列情形的，享受中小企业扶持政策： </w:t>
      </w:r>
    </w:p>
    <w:p w14:paraId="640B52AB">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（1）在货物采购项目中，货物由中小企业制造，即货物由中小企业生产且使用该中小企业商号或者注册商标； </w:t>
      </w:r>
    </w:p>
    <w:p w14:paraId="0564241B">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（2）在工程采购项目中，工程由中小企业承建，即工程施工单位为中小企业； </w:t>
      </w:r>
    </w:p>
    <w:p w14:paraId="13750D7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3）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中小企业扶持政策。以联合体形式参加政府采购活动，联合体各方均为中小企业的，联合体视同中小企业。其中，联合体各方均为小微企业的，联合体视同小微企业。中小企业投标人参加政府采购活动，应当出具《中小企业声明函》，否则不得享受相关中小企业扶持政策。中小企业，是指在中华人民共和国境内依法设立，依据国务院批准的中小企业划分标准（详见《关于印发中小企业划型标准规定的通知》工信部联企业〔2011〕300号及《国家统计局关于印发〈统计上大中小微型企业划分办法（2017）〉的通知》国统字〔2017〕213号）确定的中型企业、小型企业和微型企业，但与大企业的负责人为同一人，或者与大企业存在直接控股、管理关系的除外。符合中小企业划分标准的个体工商户，在政府采购活动中视同中小企业。 </w:t>
      </w:r>
    </w:p>
    <w:p w14:paraId="495D06C1">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3.2.2 支持监狱和戒毒企业。监狱和戒毒企业提供的产品和服务，在评标时将按照财库〔2014〕68号获得优势，参加投标的监狱和戒毒企业，应当提供由省级以上监狱管理局、戒毒管理局（含新疆生产建设兵团）出具的属于监狱企业的证明文件。 </w:t>
      </w:r>
    </w:p>
    <w:p w14:paraId="7F93C63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3.2.3 促进残疾人就业。残疾人福利性单位提供的产品和服务，在评标时将按照财库〔2017〕141号获得优势，参加投标的残疾人福利性单位，应当提供《残疾人福利性单位声明函》（格式见附件）。 </w:t>
      </w:r>
    </w:p>
    <w:p w14:paraId="58964DA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3.2.4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 </w:t>
      </w:r>
    </w:p>
    <w:p w14:paraId="43B46F72">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3.2.5 采购的产品属于信息安全产品的，投标人应当选择经国家认证的信息安全产品投标，并提供由中国信息安全认证中心按国家标准认证颁发的有效认证证书。 </w:t>
      </w:r>
    </w:p>
    <w:p w14:paraId="2302172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3.2.6 采购的产品属于政府强制采购节能产品的，投标人应当选择依据国家标准中二级能效（水效）指标认证的节能产品投标，并提供有效的节能产品认证证书。 </w:t>
      </w:r>
    </w:p>
    <w:p w14:paraId="0C1174BD">
      <w:pPr>
        <w:snapToGrid w:val="0"/>
        <w:spacing w:line="360" w:lineRule="auto"/>
        <w:ind w:firstLine="480" w:firstLineChars="200"/>
      </w:pPr>
      <w:r>
        <w:rPr>
          <w:rFonts w:hint="eastAsia" w:ascii="Times New Roman" w:hAnsi="Times New Roman" w:cs="Times New Roman"/>
          <w:color w:val="000000" w:themeColor="text1"/>
          <w:sz w:val="24"/>
          <w:szCs w:val="24"/>
          <w14:textFill>
            <w14:solidFill>
              <w14:schemeClr w14:val="tx1"/>
            </w14:solidFill>
          </w14:textFill>
        </w:rPr>
        <w:t>3.2.7采购的产品属于环境标志产品的,投标人应当选择依据相关标准的最新版本认证的环境标志产品投标,并提供有效的环境标志产品认证证书。</w:t>
      </w:r>
    </w:p>
    <w:p w14:paraId="5F8BCDD0">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4.</w:t>
      </w:r>
      <w:r>
        <w:rPr>
          <w:rFonts w:ascii="Times New Roman" w:hAnsi="Times New Roman" w:cs="Times New Roman"/>
          <w:b/>
          <w:color w:val="000000" w:themeColor="text1"/>
          <w:sz w:val="24"/>
          <w:szCs w:val="24"/>
          <w14:textFill>
            <w14:solidFill>
              <w14:schemeClr w14:val="tx1"/>
            </w14:solidFill>
          </w14:textFill>
        </w:rPr>
        <w:t>投标费用</w:t>
      </w:r>
    </w:p>
    <w:p w14:paraId="03CC45A7">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4.1投标人应自行承担所有参与投标有关费用，无论投标过程中的做法和结果如何，</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在任何情况下均无义务和责任承担这些费用。</w:t>
      </w:r>
    </w:p>
    <w:p w14:paraId="45D777FE">
      <w:pPr>
        <w:snapToGrid w:val="0"/>
        <w:spacing w:line="360" w:lineRule="auto"/>
        <w:ind w:firstLine="480" w:firstLineChars="200"/>
        <w:rPr>
          <w:rFonts w:hint="eastAsia" w:ascii="Times New Roman" w:hAnsi="Times New Roman" w:cs="Times New Roman"/>
          <w:color w:val="000000" w:themeColor="text1"/>
          <w:sz w:val="24"/>
          <w:szCs w:val="24"/>
          <w:highlight w:val="none"/>
          <w:lang w:eastAsia="zh-CN"/>
          <w14:textFill>
            <w14:solidFill>
              <w14:schemeClr w14:val="tx1"/>
            </w14:solidFill>
          </w14:textFill>
        </w:rPr>
      </w:pPr>
      <w:r>
        <w:rPr>
          <w:rFonts w:ascii="Times New Roman" w:hAnsi="Times New Roman" w:cs="Times New Roman"/>
          <w:color w:val="000000" w:themeColor="text1"/>
          <w:sz w:val="24"/>
          <w:szCs w:val="24"/>
          <w:highlight w:val="none"/>
          <w14:textFill>
            <w14:solidFill>
              <w14:schemeClr w14:val="tx1"/>
            </w14:solidFill>
          </w14:textFill>
        </w:rPr>
        <w:t>4.2</w:t>
      </w:r>
      <w:r>
        <w:rPr>
          <w:rFonts w:hint="eastAsia" w:ascii="Times New Roman" w:hAnsi="Times New Roman" w:cs="Times New Roman"/>
          <w:color w:val="000000" w:themeColor="text1"/>
          <w:sz w:val="24"/>
          <w:szCs w:val="24"/>
          <w:highlight w:val="none"/>
          <w14:textFill>
            <w14:solidFill>
              <w14:schemeClr w14:val="tx1"/>
            </w14:solidFill>
          </w14:textFill>
        </w:rPr>
        <w:t>本次采购，代理服务费由</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中标人</w:t>
      </w:r>
      <w:r>
        <w:rPr>
          <w:rFonts w:hint="eastAsia" w:ascii="Times New Roman" w:hAnsi="Times New Roman" w:cs="Times New Roman"/>
          <w:color w:val="000000" w:themeColor="text1"/>
          <w:sz w:val="24"/>
          <w:szCs w:val="24"/>
          <w:highlight w:val="none"/>
          <w14:textFill>
            <w14:solidFill>
              <w14:schemeClr w14:val="tx1"/>
            </w14:solidFill>
          </w14:textFill>
        </w:rPr>
        <w:t>支付，按照国家发展和改革委员会下发的《关于降低部分建设项目收费标准规范收费行为等有关问题的通知》（发改价格</w:t>
      </w:r>
      <w:r>
        <w:rPr>
          <w:rFonts w:hint="eastAsia" w:ascii="Times New Roman" w:hAnsi="Times New Roman" w:cs="Times New Roman"/>
          <w:color w:val="000000" w:themeColor="text1"/>
          <w:sz w:val="24"/>
          <w:szCs w:val="24"/>
          <w:highlight w:val="none"/>
          <w:lang w:eastAsia="zh-CN"/>
          <w14:textFill>
            <w14:solidFill>
              <w14:schemeClr w14:val="tx1"/>
            </w14:solidFill>
          </w14:textFill>
        </w:rPr>
        <w:t>〔2011〕534号</w:t>
      </w:r>
      <w:r>
        <w:rPr>
          <w:rFonts w:hint="eastAsia" w:ascii="Times New Roman" w:hAnsi="Times New Roman" w:cs="Times New Roman"/>
          <w:color w:val="000000" w:themeColor="text1"/>
          <w:sz w:val="24"/>
          <w:szCs w:val="24"/>
          <w:highlight w:val="none"/>
          <w14:textFill>
            <w14:solidFill>
              <w14:schemeClr w14:val="tx1"/>
            </w14:solidFill>
          </w14:textFill>
        </w:rPr>
        <w:t>）所列招标代理服务费收费标准的55%（优惠率）收取</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p>
    <w:p w14:paraId="1A21FA8A">
      <w:pPr>
        <w:snapToGrid w:val="0"/>
        <w:spacing w:line="360" w:lineRule="auto"/>
        <w:ind w:firstLine="480" w:firstLineChars="200"/>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评委费单独由招标人支付。</w:t>
      </w:r>
    </w:p>
    <w:p w14:paraId="660D9954">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5.</w:t>
      </w:r>
      <w:r>
        <w:rPr>
          <w:rFonts w:ascii="Times New Roman" w:hAnsi="Times New Roman" w:cs="Times New Roman"/>
          <w:b/>
          <w:color w:val="000000" w:themeColor="text1"/>
          <w:sz w:val="24"/>
          <w:szCs w:val="24"/>
          <w14:textFill>
            <w14:solidFill>
              <w14:schemeClr w14:val="tx1"/>
            </w14:solidFill>
          </w14:textFill>
        </w:rPr>
        <w:t>采购文件的约束力</w:t>
      </w:r>
    </w:p>
    <w:p w14:paraId="382A816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5.1投标人一旦下载了本采购文件并参与投标，即被认为接受了本采购文件中的所有条件和规定。</w:t>
      </w:r>
    </w:p>
    <w:p w14:paraId="62B09408">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二、采购文件</w:t>
      </w:r>
    </w:p>
    <w:p w14:paraId="728AD324">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6.</w:t>
      </w:r>
      <w:r>
        <w:rPr>
          <w:rFonts w:ascii="Times New Roman" w:hAnsi="Times New Roman" w:cs="Times New Roman"/>
          <w:b/>
          <w:color w:val="000000" w:themeColor="text1"/>
          <w:sz w:val="24"/>
          <w:szCs w:val="24"/>
          <w14:textFill>
            <w14:solidFill>
              <w14:schemeClr w14:val="tx1"/>
            </w14:solidFill>
          </w14:textFill>
        </w:rPr>
        <w:t>采购文件的构成</w:t>
      </w:r>
    </w:p>
    <w:p w14:paraId="27C069C2">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6.1采购文件由以下部分组成：</w:t>
      </w:r>
    </w:p>
    <w:p w14:paraId="058D0055">
      <w:pPr>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r>
        <w:rPr>
          <w:rFonts w:hint="eastAsia" w:ascii="Times New Roman" w:hAnsi="Times New Roman" w:cs="Times New Roman"/>
          <w:color w:val="000000" w:themeColor="text1"/>
          <w:sz w:val="24"/>
          <w:szCs w:val="24"/>
          <w14:textFill>
            <w14:solidFill>
              <w14:schemeClr w14:val="tx1"/>
            </w14:solidFill>
          </w14:textFill>
        </w:rPr>
        <w:t>招标</w:t>
      </w:r>
      <w:r>
        <w:rPr>
          <w:rFonts w:ascii="Times New Roman" w:hAnsi="Times New Roman" w:cs="Times New Roman"/>
          <w:color w:val="000000" w:themeColor="text1"/>
          <w:sz w:val="24"/>
          <w:szCs w:val="24"/>
          <w14:textFill>
            <w14:solidFill>
              <w14:schemeClr w14:val="tx1"/>
            </w14:solidFill>
          </w14:textFill>
        </w:rPr>
        <w:t>公告</w:t>
      </w:r>
    </w:p>
    <w:p w14:paraId="538F5103">
      <w:pPr>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（2）投标人须知</w:t>
      </w:r>
    </w:p>
    <w:p w14:paraId="2B05758F">
      <w:pPr>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（3）合同条款及格式</w:t>
      </w:r>
    </w:p>
    <w:p w14:paraId="3DDA61B2">
      <w:pPr>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（4）项目需求</w:t>
      </w:r>
    </w:p>
    <w:p w14:paraId="7CE7812C">
      <w:pPr>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（5）评标方法与评标标准</w:t>
      </w:r>
    </w:p>
    <w:p w14:paraId="06631D2D">
      <w:pPr>
        <w:snapToGrid w:val="0"/>
        <w:spacing w:line="360" w:lineRule="auto"/>
        <w:ind w:firstLine="360" w:firstLineChars="15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（6）投标文件格式</w:t>
      </w:r>
    </w:p>
    <w:p w14:paraId="11A3F1E2">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请仔细检查采购文件是否齐全，如有缺漏请立即与</w:t>
      </w:r>
      <w:r>
        <w:rPr>
          <w:rFonts w:hint="eastAsia" w:ascii="Times New Roman" w:hAnsi="Times New Roman" w:cs="Times New Roman"/>
          <w:color w:val="000000" w:themeColor="text1"/>
          <w:sz w:val="24"/>
          <w:szCs w:val="24"/>
          <w14:textFill>
            <w14:solidFill>
              <w14:schemeClr w14:val="tx1"/>
            </w14:solidFill>
          </w14:textFill>
        </w:rPr>
        <w:t>招标</w:t>
      </w:r>
      <w:r>
        <w:rPr>
          <w:rFonts w:ascii="Times New Roman" w:hAnsi="Times New Roman" w:cs="Times New Roman"/>
          <w:color w:val="000000" w:themeColor="text1"/>
          <w:sz w:val="24"/>
          <w:szCs w:val="24"/>
          <w14:textFill>
            <w14:solidFill>
              <w14:schemeClr w14:val="tx1"/>
            </w14:solidFill>
          </w14:textFill>
        </w:rPr>
        <w:t>代理机构联系解决。</w:t>
      </w:r>
    </w:p>
    <w:p w14:paraId="545E0C33">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6.2投标人应认真阅读采购文件中所有的事项、格式、条款和规范等要求。按采购文件要求和规定编制投标文件，并保证所提供的全部资料的真实性，以使其投标文件对采购文件作出实质性响应，否则其风险由投标人自行承担。</w:t>
      </w:r>
    </w:p>
    <w:p w14:paraId="3A4049D1">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7.</w:t>
      </w:r>
      <w:r>
        <w:rPr>
          <w:rFonts w:ascii="Times New Roman" w:hAnsi="Times New Roman" w:cs="Times New Roman"/>
          <w:b/>
          <w:color w:val="000000" w:themeColor="text1"/>
          <w:sz w:val="24"/>
          <w:szCs w:val="24"/>
          <w14:textFill>
            <w14:solidFill>
              <w14:schemeClr w14:val="tx1"/>
            </w14:solidFill>
          </w14:textFill>
        </w:rPr>
        <w:t>采购文件的澄清</w:t>
      </w:r>
    </w:p>
    <w:p w14:paraId="32C9A36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任何要求对采购文件进行澄清的投标人，均应在投标截止期前十日前以书面形式通知</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w:t>
      </w:r>
    </w:p>
    <w:p w14:paraId="33A885C0">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8.</w:t>
      </w:r>
      <w:r>
        <w:rPr>
          <w:rFonts w:ascii="Times New Roman" w:hAnsi="Times New Roman" w:cs="Times New Roman"/>
          <w:b/>
          <w:color w:val="000000" w:themeColor="text1"/>
          <w:sz w:val="24"/>
          <w:szCs w:val="24"/>
          <w14:textFill>
            <w14:solidFill>
              <w14:schemeClr w14:val="tx1"/>
            </w14:solidFill>
          </w14:textFill>
        </w:rPr>
        <w:t>采购文件的修改</w:t>
      </w:r>
    </w:p>
    <w:p w14:paraId="5AA8B03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8.l在投标截止日期前，无论何种原因，</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均可主动或在解答投标人提出的澄清问题时对采购文件进行修改。</w:t>
      </w:r>
    </w:p>
    <w:p w14:paraId="4EC8A3A2">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8.2采购文件的修改将在“</w:t>
      </w:r>
      <w:r>
        <w:rPr>
          <w:rFonts w:hint="eastAsia" w:ascii="Times New Roman" w:hAnsi="Times New Roman" w:cs="Times New Roman"/>
          <w:color w:val="000000" w:themeColor="text1"/>
          <w:sz w:val="24"/>
          <w:szCs w:val="24"/>
          <w:lang w:val="en-US" w:eastAsia="zh-CN"/>
          <w14:textFill>
            <w14:solidFill>
              <w14:schemeClr w14:val="tx1"/>
            </w14:solidFill>
          </w14:textFill>
        </w:rPr>
        <w:t>江苏政府采购网</w:t>
      </w:r>
      <w:r>
        <w:rPr>
          <w:rFonts w:ascii="Times New Roman" w:hAnsi="Times New Roman" w:cs="Times New Roman"/>
          <w:color w:val="000000" w:themeColor="text1"/>
          <w:sz w:val="24"/>
          <w:szCs w:val="24"/>
          <w14:textFill>
            <w14:solidFill>
              <w14:schemeClr w14:val="tx1"/>
            </w14:solidFill>
          </w14:textFill>
        </w:rPr>
        <w:t>”网站上公布，并对所有投标人具有约束力。</w:t>
      </w:r>
    </w:p>
    <w:p w14:paraId="6F52C404">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8.3为使投标人编写标书有充分时间对标书文件的修改部分进行分析、研究，</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有权推迟投标截止日期和开标日期，并将此变更书面通知所有购买采购文件的投标人。</w:t>
      </w:r>
    </w:p>
    <w:p w14:paraId="2C30F63C">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三、投标文件的编制</w:t>
      </w:r>
    </w:p>
    <w:p w14:paraId="0A2F64CB">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9.</w:t>
      </w:r>
      <w:r>
        <w:rPr>
          <w:rFonts w:ascii="Times New Roman" w:hAnsi="Times New Roman" w:cs="Times New Roman"/>
          <w:b/>
          <w:color w:val="000000" w:themeColor="text1"/>
          <w:sz w:val="24"/>
          <w:szCs w:val="24"/>
          <w14:textFill>
            <w14:solidFill>
              <w14:schemeClr w14:val="tx1"/>
            </w14:solidFill>
          </w14:textFill>
        </w:rPr>
        <w:t>投标语言及度量衡单位</w:t>
      </w:r>
    </w:p>
    <w:p w14:paraId="1DB36B5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9.1投标人提供的投标文件以及投标人与</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就有关投标的所有来往通知、函件和文件均使用</w:t>
      </w:r>
      <w:r>
        <w:rPr>
          <w:rFonts w:ascii="Times New Roman" w:hAnsi="Times New Roman" w:cs="Times New Roman"/>
          <w:b/>
          <w:color w:val="000000" w:themeColor="text1"/>
          <w:sz w:val="24"/>
          <w:szCs w:val="24"/>
          <w14:textFill>
            <w14:solidFill>
              <w14:schemeClr w14:val="tx1"/>
            </w14:solidFill>
          </w14:textFill>
        </w:rPr>
        <w:t>简体中文</w:t>
      </w:r>
      <w:r>
        <w:rPr>
          <w:rFonts w:ascii="Times New Roman" w:hAnsi="Times New Roman" w:cs="Times New Roman"/>
          <w:color w:val="000000" w:themeColor="text1"/>
          <w:sz w:val="24"/>
          <w:szCs w:val="24"/>
          <w14:textFill>
            <w14:solidFill>
              <w14:schemeClr w14:val="tx1"/>
            </w14:solidFill>
          </w14:textFill>
        </w:rPr>
        <w:t>。</w:t>
      </w:r>
    </w:p>
    <w:p w14:paraId="472B97F7">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9.2除技术性能另有规定外，投标文件所使用的度量衡单位，均采用国家法定计量单位。</w:t>
      </w:r>
    </w:p>
    <w:p w14:paraId="13ABD475">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10.</w:t>
      </w:r>
      <w:r>
        <w:rPr>
          <w:rFonts w:ascii="Times New Roman" w:hAnsi="Times New Roman" w:cs="Times New Roman"/>
          <w:b/>
          <w:color w:val="000000" w:themeColor="text1"/>
          <w:sz w:val="24"/>
          <w:szCs w:val="24"/>
          <w14:textFill>
            <w14:solidFill>
              <w14:schemeClr w14:val="tx1"/>
            </w14:solidFill>
          </w14:textFill>
        </w:rPr>
        <w:t>投标文件的构成</w:t>
      </w:r>
    </w:p>
    <w:p w14:paraId="3252A152">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投标人编写的投标文件应包括下列部分：</w:t>
      </w:r>
    </w:p>
    <w:p w14:paraId="544E22DB">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10.1投标文件目录；</w:t>
      </w:r>
    </w:p>
    <w:p w14:paraId="6173A41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10.2投标函：须含投标人的开户名称、开户银行、账号、电话、传真、E-mail等联系方式；</w:t>
      </w:r>
    </w:p>
    <w:p w14:paraId="70002C6F">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10.3投标人资格证明材料；</w:t>
      </w:r>
    </w:p>
    <w:p w14:paraId="7C5F5E0E">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（1）法人或者其他组织的营业执照等证明文件（复印件）；</w:t>
      </w:r>
    </w:p>
    <w:p w14:paraId="1CD0CA52">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（2）相关资质证明材料（复印件）；</w:t>
      </w:r>
    </w:p>
    <w:p w14:paraId="60DA7654">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（3）法人授权委托书（复印件）；</w:t>
      </w:r>
    </w:p>
    <w:p w14:paraId="71A97266">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（4）法定代表人的身份证复印件；</w:t>
      </w:r>
    </w:p>
    <w:p w14:paraId="634A1C7C">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（5）授权代表的身份证复印件（开标现场查验原件）；</w:t>
      </w:r>
    </w:p>
    <w:p w14:paraId="35718F54">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（6）具有项目</w:t>
      </w:r>
      <w:r>
        <w:rPr>
          <w:rFonts w:hint="eastAsia" w:ascii="Times New Roman" w:hAnsi="Times New Roman" w:cs="Times New Roman"/>
          <w:color w:val="000000" w:themeColor="text1"/>
          <w:sz w:val="24"/>
          <w:szCs w:val="24"/>
          <w:lang w:eastAsia="zh-CN"/>
          <w14:textFill>
            <w14:solidFill>
              <w14:schemeClr w14:val="tx1"/>
            </w14:solidFill>
          </w14:textFill>
        </w:rPr>
        <w:t>必需的</w:t>
      </w:r>
      <w:r>
        <w:rPr>
          <w:rFonts w:ascii="Times New Roman" w:hAnsi="Times New Roman" w:cs="Times New Roman"/>
          <w:color w:val="000000" w:themeColor="text1"/>
          <w:sz w:val="24"/>
          <w:szCs w:val="24"/>
          <w14:textFill>
            <w14:solidFill>
              <w14:schemeClr w14:val="tx1"/>
            </w14:solidFill>
          </w14:textFill>
        </w:rPr>
        <w:t>技术条件或经营能力的书面声明；</w:t>
      </w:r>
    </w:p>
    <w:p w14:paraId="18A072E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（7）无违法违规记录声明；</w:t>
      </w:r>
    </w:p>
    <w:p w14:paraId="05746578">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（8）采购文件中的其他资格性要求（详见采购公告第三条投标人资格要求）。</w:t>
      </w:r>
    </w:p>
    <w:p w14:paraId="2FAD3D0C">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上述文件均应</w:t>
      </w:r>
      <w:r>
        <w:rPr>
          <w:rFonts w:hint="eastAsia" w:ascii="Times New Roman" w:hAnsi="Times New Roman" w:cs="Times New Roman"/>
          <w:color w:val="000000" w:themeColor="text1"/>
          <w:sz w:val="24"/>
          <w:szCs w:val="24"/>
          <w14:textFill>
            <w14:solidFill>
              <w14:schemeClr w14:val="tx1"/>
            </w14:solidFill>
          </w14:textFill>
        </w:rPr>
        <w:t>加盖投标人</w:t>
      </w:r>
      <w:r>
        <w:rPr>
          <w:rFonts w:hint="eastAsia" w:ascii="Times New Roman" w:hAnsi="Times New Roman" w:cs="Times New Roman"/>
          <w:color w:val="000000" w:themeColor="text1"/>
          <w:sz w:val="24"/>
          <w:szCs w:val="24"/>
          <w:lang w:eastAsia="zh-CN"/>
          <w14:textFill>
            <w14:solidFill>
              <w14:schemeClr w14:val="tx1"/>
            </w14:solidFill>
          </w14:textFill>
        </w:rPr>
        <w:t>CA公章</w:t>
      </w:r>
      <w:r>
        <w:rPr>
          <w:rFonts w:ascii="Times New Roman" w:hAnsi="Times New Roman" w:cs="Times New Roman"/>
          <w:color w:val="000000" w:themeColor="text1"/>
          <w:sz w:val="24"/>
          <w:szCs w:val="24"/>
          <w14:textFill>
            <w14:solidFill>
              <w14:schemeClr w14:val="tx1"/>
            </w14:solidFill>
          </w14:textFill>
        </w:rPr>
        <w:t>。</w:t>
      </w:r>
    </w:p>
    <w:p w14:paraId="74C186EC">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10.4开标一览表：</w:t>
      </w:r>
    </w:p>
    <w:p w14:paraId="72A33A83">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（1）投标人应按照采购文件中提供的格式完整、正确地填写开标一览表。</w:t>
      </w:r>
    </w:p>
    <w:p w14:paraId="075DC0D5">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（2）投标人应采用分项报价最终汇总的方式进行，按照采购文件要求报价，在表中标明所提供的</w:t>
      </w:r>
      <w:r>
        <w:rPr>
          <w:rFonts w:hint="eastAsia" w:ascii="Times New Roman" w:hAnsi="Times New Roman" w:cs="Times New Roman"/>
          <w:color w:val="000000" w:themeColor="text1"/>
          <w:sz w:val="24"/>
          <w:szCs w:val="24"/>
          <w14:textFill>
            <w14:solidFill>
              <w14:schemeClr w14:val="tx1"/>
            </w14:solidFill>
          </w14:textFill>
        </w:rPr>
        <w:t>货物</w:t>
      </w:r>
      <w:r>
        <w:rPr>
          <w:rFonts w:ascii="Times New Roman" w:hAnsi="Times New Roman" w:cs="Times New Roman"/>
          <w:color w:val="000000" w:themeColor="text1"/>
          <w:sz w:val="24"/>
          <w:szCs w:val="24"/>
          <w14:textFill>
            <w14:solidFill>
              <w14:schemeClr w14:val="tx1"/>
            </w14:solidFill>
          </w14:textFill>
        </w:rPr>
        <w:t>品牌、规格型号和原产地，主要部件型号及其功能的中文说明，供货期等；每项货物和服务只允许有一个报价，任何有选择的报价将不予接受（如有备选配件，备选配件的报价不属于选择的报价）。</w:t>
      </w:r>
    </w:p>
    <w:p w14:paraId="0E7085E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（3）报价采取总承包方式，包括所投产品、安装调试、服务、运输、税金</w:t>
      </w:r>
      <w:r>
        <w:rPr>
          <w:rFonts w:hint="eastAsia" w:ascii="Times New Roman" w:hAnsi="Times New Roman" w:cs="Times New Roman"/>
          <w:color w:val="000000" w:themeColor="text1"/>
          <w:sz w:val="24"/>
          <w:szCs w:val="24"/>
          <w:lang w:eastAsia="zh-CN"/>
          <w14:textFill>
            <w14:solidFill>
              <w14:schemeClr w14:val="tx1"/>
            </w14:solidFill>
          </w14:textFill>
        </w:rPr>
        <w:t>及其他有关</w:t>
      </w:r>
      <w:r>
        <w:rPr>
          <w:rFonts w:ascii="Times New Roman" w:hAnsi="Times New Roman" w:cs="Times New Roman"/>
          <w:color w:val="000000" w:themeColor="text1"/>
          <w:sz w:val="24"/>
          <w:szCs w:val="24"/>
          <w14:textFill>
            <w14:solidFill>
              <w14:schemeClr w14:val="tx1"/>
            </w14:solidFill>
          </w14:textFill>
        </w:rPr>
        <w:t>的为完成本项目发生的所有费用，采购文件中另有规定的除外。国产</w:t>
      </w:r>
      <w:r>
        <w:rPr>
          <w:rFonts w:hint="eastAsia" w:ascii="Times New Roman" w:hAnsi="Times New Roman" w:cs="Times New Roman"/>
          <w:color w:val="000000" w:themeColor="text1"/>
          <w:sz w:val="24"/>
          <w:szCs w:val="24"/>
          <w14:textFill>
            <w14:solidFill>
              <w14:schemeClr w14:val="tx1"/>
            </w14:solidFill>
          </w14:textFill>
        </w:rPr>
        <w:t>货物</w:t>
      </w:r>
      <w:r>
        <w:rPr>
          <w:rFonts w:ascii="Times New Roman" w:hAnsi="Times New Roman" w:cs="Times New Roman"/>
          <w:color w:val="000000" w:themeColor="text1"/>
          <w:sz w:val="24"/>
          <w:szCs w:val="24"/>
          <w14:textFill>
            <w14:solidFill>
              <w14:schemeClr w14:val="tx1"/>
            </w14:solidFill>
          </w14:textFill>
        </w:rPr>
        <w:t>以人民币报价。</w:t>
      </w:r>
    </w:p>
    <w:p w14:paraId="1AC13D4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（4）开标一览表中的价格应与投标文件中的报价表中价格一致，如不一致，评标时一律按开标一览表中价格为准。开标一览表必须盖章，</w:t>
      </w:r>
      <w:r>
        <w:rPr>
          <w:rFonts w:hint="eastAsia" w:ascii="Times New Roman" w:hAnsi="Times New Roman" w:cs="Times New Roman"/>
          <w:color w:val="000000" w:themeColor="text1"/>
          <w:sz w:val="24"/>
          <w:szCs w:val="24"/>
          <w14:textFill>
            <w14:solidFill>
              <w14:schemeClr w14:val="tx1"/>
            </w14:solidFill>
          </w14:textFill>
        </w:rPr>
        <w:t>加盖投标人</w:t>
      </w:r>
      <w:r>
        <w:rPr>
          <w:rFonts w:hint="eastAsia" w:ascii="Times New Roman" w:hAnsi="Times New Roman" w:cs="Times New Roman"/>
          <w:color w:val="000000" w:themeColor="text1"/>
          <w:sz w:val="24"/>
          <w:szCs w:val="24"/>
          <w:lang w:eastAsia="zh-CN"/>
          <w14:textFill>
            <w14:solidFill>
              <w14:schemeClr w14:val="tx1"/>
            </w14:solidFill>
          </w14:textFill>
        </w:rPr>
        <w:t>CA公章</w:t>
      </w:r>
      <w:r>
        <w:rPr>
          <w:rFonts w:ascii="Times New Roman" w:hAnsi="Times New Roman" w:cs="Times New Roman"/>
          <w:color w:val="000000" w:themeColor="text1"/>
          <w:sz w:val="24"/>
          <w:szCs w:val="24"/>
          <w14:textFill>
            <w14:solidFill>
              <w14:schemeClr w14:val="tx1"/>
            </w14:solidFill>
          </w14:textFill>
        </w:rPr>
        <w:t>后的“开标一览表”除应装订在投标文件中，还必须单独（此份不放在投标文件内）装在小信封内于投标截止时间前与投标文件一起递交。</w:t>
      </w:r>
    </w:p>
    <w:p w14:paraId="7F651FE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（5）报价必须充分考虑所有可能影响到报价的价格因素，一旦投标结束最终成交，总价将包定，合同期内不予调整。如发生漏、缺、少项，都将被认为是中标人的报价让利行为。</w:t>
      </w:r>
    </w:p>
    <w:p w14:paraId="45D114B8">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10.5投标人参照投标文件中技术条款对本项目所投产品的技术指标响应进行准确描述，并附《技术参数响应及偏离表》；定型产品须提供所投产品带有技术参数的产品说明书；加工定制及配套装置须提供所投产品的性能指标、实施方案，其中主要部件为定型产品的，则须提供与投标文件相一致的带有技术参数的产品说明书；</w:t>
      </w:r>
    </w:p>
    <w:p w14:paraId="11E1053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10.6投标人按照投标文件中商务条款提供交货安装、工期保证等方案以及产品售后服务和质量承诺，并附《商务条款响应及偏离表》；</w:t>
      </w:r>
    </w:p>
    <w:p w14:paraId="08AC0598">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10.7投标人的业绩情况；</w:t>
      </w:r>
    </w:p>
    <w:p w14:paraId="3AF1AB15">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10.8投标人认为有必要提供的文件材料；</w:t>
      </w:r>
    </w:p>
    <w:p w14:paraId="370693F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10.9投标人应将投标文件按上述顺序分别装订成册。</w:t>
      </w:r>
    </w:p>
    <w:p w14:paraId="0774F3E3">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11.</w:t>
      </w:r>
      <w:r>
        <w:rPr>
          <w:rFonts w:ascii="Times New Roman" w:hAnsi="Times New Roman" w:cs="Times New Roman"/>
          <w:b/>
          <w:color w:val="000000" w:themeColor="text1"/>
          <w:sz w:val="24"/>
          <w:szCs w:val="24"/>
          <w14:textFill>
            <w14:solidFill>
              <w14:schemeClr w14:val="tx1"/>
            </w14:solidFill>
          </w14:textFill>
        </w:rPr>
        <w:t>其它费用处理</w:t>
      </w:r>
    </w:p>
    <w:p w14:paraId="45F2D5C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采购文件未列明，而投标单位认为必需的费用也需列入报价。</w:t>
      </w:r>
    </w:p>
    <w:p w14:paraId="21865712">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12.</w:t>
      </w:r>
      <w:r>
        <w:rPr>
          <w:rFonts w:ascii="Times New Roman" w:hAnsi="Times New Roman" w:cs="Times New Roman"/>
          <w:b/>
          <w:color w:val="000000" w:themeColor="text1"/>
          <w:sz w:val="24"/>
          <w:szCs w:val="24"/>
          <w14:textFill>
            <w14:solidFill>
              <w14:schemeClr w14:val="tx1"/>
            </w14:solidFill>
          </w14:textFill>
        </w:rPr>
        <w:t>投标保证金</w:t>
      </w:r>
    </w:p>
    <w:p w14:paraId="01DEC05B">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本项目不收取投标保证金。</w:t>
      </w:r>
    </w:p>
    <w:p w14:paraId="1C76CC19">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13.</w:t>
      </w:r>
      <w:r>
        <w:rPr>
          <w:rFonts w:ascii="Times New Roman" w:hAnsi="Times New Roman" w:cs="Times New Roman"/>
          <w:b/>
          <w:color w:val="000000" w:themeColor="text1"/>
          <w:sz w:val="24"/>
          <w:szCs w:val="24"/>
          <w14:textFill>
            <w14:solidFill>
              <w14:schemeClr w14:val="tx1"/>
            </w14:solidFill>
          </w14:textFill>
        </w:rPr>
        <w:t>投标有效期</w:t>
      </w:r>
    </w:p>
    <w:p w14:paraId="467889D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投标有效期为</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规定的开标之日后九十</w:t>
      </w:r>
      <w:r>
        <w:rPr>
          <w:rFonts w:hint="eastAsia" w:ascii="Times New Roman" w:hAnsi="Times New Roman" w:cs="Times New Roman"/>
          <w:color w:val="000000" w:themeColor="text1"/>
          <w:sz w:val="24"/>
          <w:szCs w:val="24"/>
          <w14:textFill>
            <w14:solidFill>
              <w14:schemeClr w14:val="tx1"/>
            </w14:solidFill>
          </w14:textFill>
        </w:rPr>
        <w:t>（90）</w:t>
      </w:r>
      <w:r>
        <w:rPr>
          <w:rFonts w:ascii="Times New Roman" w:hAnsi="Times New Roman" w:cs="Times New Roman"/>
          <w:color w:val="000000" w:themeColor="text1"/>
          <w:sz w:val="24"/>
          <w:szCs w:val="24"/>
          <w14:textFill>
            <w14:solidFill>
              <w14:schemeClr w14:val="tx1"/>
            </w14:solidFill>
          </w14:textFill>
        </w:rPr>
        <w:t>天内有效。如果</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在有效期之内，可向投标人提出延长投标有效期的要求。要求与答复均应采用书面形式。</w:t>
      </w:r>
      <w:r>
        <w:rPr>
          <w:rFonts w:ascii="Times New Roman" w:hAnsi="Times New Roman" w:cs="Times New Roman"/>
          <w:bCs/>
          <w:snapToGrid w:val="0"/>
          <w:color w:val="000000" w:themeColor="text1"/>
          <w:kern w:val="21"/>
          <w:sz w:val="24"/>
          <w:szCs w:val="24"/>
          <w14:textFill>
            <w14:solidFill>
              <w14:schemeClr w14:val="tx1"/>
            </w14:solidFill>
          </w14:textFill>
        </w:rPr>
        <w:t>投标人可以拒绝</w:t>
      </w:r>
      <w:r>
        <w:rPr>
          <w:rFonts w:hint="eastAsia" w:ascii="Times New Roman" w:hAnsi="Times New Roman" w:cs="Times New Roman"/>
          <w:bCs/>
          <w:snapToGrid w:val="0"/>
          <w:color w:val="000000" w:themeColor="text1"/>
          <w:kern w:val="21"/>
          <w:sz w:val="24"/>
          <w:szCs w:val="24"/>
          <w:lang w:eastAsia="zh-CN"/>
          <w14:textFill>
            <w14:solidFill>
              <w14:schemeClr w14:val="tx1"/>
            </w14:solidFill>
          </w14:textFill>
        </w:rPr>
        <w:t>招标人</w:t>
      </w:r>
      <w:r>
        <w:rPr>
          <w:rFonts w:ascii="Times New Roman" w:hAnsi="Times New Roman" w:cs="Times New Roman"/>
          <w:bCs/>
          <w:snapToGrid w:val="0"/>
          <w:color w:val="000000" w:themeColor="text1"/>
          <w:kern w:val="21"/>
          <w:sz w:val="24"/>
          <w:szCs w:val="24"/>
          <w14:textFill>
            <w14:solidFill>
              <w14:schemeClr w14:val="tx1"/>
            </w14:solidFill>
          </w14:textFill>
        </w:rPr>
        <w:t>的这一要求而放弃投标</w:t>
      </w:r>
      <w:r>
        <w:rPr>
          <w:rFonts w:ascii="Times New Roman" w:hAnsi="Times New Roman" w:cs="Times New Roman"/>
          <w:snapToGrid w:val="0"/>
          <w:color w:val="000000" w:themeColor="text1"/>
          <w:kern w:val="21"/>
          <w:sz w:val="24"/>
          <w:szCs w:val="24"/>
          <w14:textFill>
            <w14:solidFill>
              <w14:schemeClr w14:val="tx1"/>
            </w14:solidFill>
          </w14:textFill>
        </w:rPr>
        <w:t>。</w:t>
      </w:r>
      <w:r>
        <w:rPr>
          <w:rFonts w:ascii="Times New Roman" w:hAnsi="Times New Roman" w:cs="Times New Roman"/>
          <w:bCs/>
          <w:snapToGrid w:val="0"/>
          <w:color w:val="000000" w:themeColor="text1"/>
          <w:kern w:val="21"/>
          <w:sz w:val="24"/>
          <w:szCs w:val="24"/>
          <w14:textFill>
            <w14:solidFill>
              <w14:schemeClr w14:val="tx1"/>
            </w14:solidFill>
          </w14:textFill>
        </w:rPr>
        <w:t>同意延</w:t>
      </w:r>
      <w:r>
        <w:rPr>
          <w:rFonts w:ascii="Times New Roman" w:hAnsi="Times New Roman" w:cs="Times New Roman"/>
          <w:color w:val="000000" w:themeColor="text1"/>
          <w:sz w:val="24"/>
          <w:szCs w:val="24"/>
          <w14:textFill>
            <w14:solidFill>
              <w14:schemeClr w14:val="tx1"/>
            </w14:solidFill>
          </w14:textFill>
        </w:rPr>
        <w:t>长投标有效期的投标人既不能要求也不允许修改其投标文件。</w:t>
      </w:r>
    </w:p>
    <w:p w14:paraId="3E88EB00">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14.</w:t>
      </w:r>
      <w:r>
        <w:rPr>
          <w:rFonts w:ascii="Times New Roman" w:hAnsi="Times New Roman" w:cs="Times New Roman"/>
          <w:b/>
          <w:color w:val="000000" w:themeColor="text1"/>
          <w:sz w:val="24"/>
          <w:szCs w:val="24"/>
          <w14:textFill>
            <w14:solidFill>
              <w14:schemeClr w14:val="tx1"/>
            </w14:solidFill>
          </w14:textFill>
        </w:rPr>
        <w:t>投标文件份数和签署</w:t>
      </w:r>
    </w:p>
    <w:p w14:paraId="09722016">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14.l投标文件中法定代表人或其授权代表签字。授权代表须将法</w:t>
      </w:r>
      <w:r>
        <w:rPr>
          <w:rFonts w:hint="eastAsia" w:ascii="Times New Roman" w:hAnsi="Times New Roman" w:cs="Times New Roman"/>
          <w:color w:val="000000" w:themeColor="text1"/>
          <w:sz w:val="24"/>
          <w:szCs w:val="24"/>
          <w:lang w:val="en-US" w:eastAsia="zh-CN"/>
          <w14:textFill>
            <w14:solidFill>
              <w14:schemeClr w14:val="tx1"/>
            </w14:solidFill>
          </w14:textFill>
        </w:rPr>
        <w:t>定</w:t>
      </w:r>
      <w:r>
        <w:rPr>
          <w:rFonts w:ascii="Times New Roman" w:hAnsi="Times New Roman" w:cs="Times New Roman"/>
          <w:color w:val="000000" w:themeColor="text1"/>
          <w:sz w:val="24"/>
          <w:szCs w:val="24"/>
          <w14:textFill>
            <w14:solidFill>
              <w14:schemeClr w14:val="tx1"/>
            </w14:solidFill>
          </w14:textFill>
        </w:rPr>
        <w:t>代表人以书面形式出具法人代表授权书</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原件</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附在投标文件中。</w:t>
      </w:r>
    </w:p>
    <w:p w14:paraId="059EEEED">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14.</w:t>
      </w: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除投标人对错处做必要修改时，投标文件不得行间插字、涂改或增删。如有修改错漏处，必须由投标文件签署人签字并</w:t>
      </w:r>
      <w:r>
        <w:rPr>
          <w:rFonts w:hint="eastAsia" w:ascii="Times New Roman" w:hAnsi="Times New Roman" w:cs="Times New Roman"/>
          <w:color w:val="000000" w:themeColor="text1"/>
          <w:sz w:val="24"/>
          <w:szCs w:val="24"/>
          <w14:textFill>
            <w14:solidFill>
              <w14:schemeClr w14:val="tx1"/>
            </w14:solidFill>
          </w14:textFill>
        </w:rPr>
        <w:t>加盖投标人</w:t>
      </w:r>
      <w:r>
        <w:rPr>
          <w:rFonts w:hint="eastAsia" w:ascii="Times New Roman" w:hAnsi="Times New Roman" w:cs="Times New Roman"/>
          <w:color w:val="000000" w:themeColor="text1"/>
          <w:sz w:val="24"/>
          <w:szCs w:val="24"/>
          <w:lang w:eastAsia="zh-CN"/>
          <w14:textFill>
            <w14:solidFill>
              <w14:schemeClr w14:val="tx1"/>
            </w14:solidFill>
          </w14:textFill>
        </w:rPr>
        <w:t>CA公章</w:t>
      </w:r>
      <w:r>
        <w:rPr>
          <w:rFonts w:ascii="Times New Roman" w:hAnsi="Times New Roman" w:cs="Times New Roman"/>
          <w:color w:val="000000" w:themeColor="text1"/>
          <w:sz w:val="24"/>
          <w:szCs w:val="24"/>
          <w14:textFill>
            <w14:solidFill>
              <w14:schemeClr w14:val="tx1"/>
            </w14:solidFill>
          </w14:textFill>
        </w:rPr>
        <w:t>。</w:t>
      </w:r>
    </w:p>
    <w:p w14:paraId="2D98F586">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四、投标文件的递交</w:t>
      </w:r>
    </w:p>
    <w:p w14:paraId="3F3E70E4">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15.</w:t>
      </w:r>
      <w:r>
        <w:rPr>
          <w:rFonts w:ascii="Times New Roman" w:hAnsi="Times New Roman" w:cs="Times New Roman"/>
          <w:b/>
          <w:color w:val="000000" w:themeColor="text1"/>
          <w:sz w:val="24"/>
          <w:szCs w:val="24"/>
          <w14:textFill>
            <w14:solidFill>
              <w14:schemeClr w14:val="tx1"/>
            </w14:solidFill>
          </w14:textFill>
        </w:rPr>
        <w:t>投标文件的密封和标记</w:t>
      </w:r>
    </w:p>
    <w:p w14:paraId="15C10FAE">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15.1</w:t>
      </w:r>
      <w:r>
        <w:rPr>
          <w:rFonts w:ascii="Times New Roman" w:hAnsi="Times New Roman" w:cs="Times New Roman"/>
          <w:b/>
          <w:i/>
          <w:color w:val="000000" w:themeColor="text1"/>
          <w:sz w:val="24"/>
          <w:szCs w:val="24"/>
          <w14:textFill>
            <w14:solidFill>
              <w14:schemeClr w14:val="tx1"/>
            </w14:solidFill>
          </w14:textFill>
        </w:rPr>
        <w:t>投标人应将投标文件密封，封口处要贴封签并加盖投标单位</w:t>
      </w:r>
      <w:r>
        <w:rPr>
          <w:rFonts w:hint="eastAsia" w:ascii="Times New Roman" w:hAnsi="Times New Roman" w:cs="Times New Roman"/>
          <w:b/>
          <w:i/>
          <w:color w:val="000000" w:themeColor="text1"/>
          <w:sz w:val="24"/>
          <w:szCs w:val="24"/>
          <w14:textFill>
            <w14:solidFill>
              <w14:schemeClr w14:val="tx1"/>
            </w14:solidFill>
          </w14:textFill>
        </w:rPr>
        <w:t>投标人</w:t>
      </w:r>
      <w:r>
        <w:rPr>
          <w:rFonts w:hint="eastAsia" w:ascii="Times New Roman" w:hAnsi="Times New Roman" w:cs="Times New Roman"/>
          <w:b/>
          <w:i/>
          <w:color w:val="000000" w:themeColor="text1"/>
          <w:sz w:val="24"/>
          <w:szCs w:val="24"/>
          <w:lang w:eastAsia="zh-CN"/>
          <w14:textFill>
            <w14:solidFill>
              <w14:schemeClr w14:val="tx1"/>
            </w14:solidFill>
          </w14:textFill>
        </w:rPr>
        <w:t>CA公章</w:t>
      </w:r>
      <w:r>
        <w:rPr>
          <w:rFonts w:ascii="Times New Roman" w:hAnsi="Times New Roman" w:cs="Times New Roman"/>
          <w:b/>
          <w:i/>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不论投标人中标与否，投标文件均不退回。</w:t>
      </w:r>
    </w:p>
    <w:p w14:paraId="0529DCC1">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15.2文件袋上应注明投标项目名称、正、副本、投标单位、授权代表姓名及联系方式。如因标注不清而产生的后果由投标人自负。</w:t>
      </w:r>
    </w:p>
    <w:p w14:paraId="22E84AC3">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15.3</w:t>
      </w:r>
      <w:r>
        <w:rPr>
          <w:rFonts w:ascii="Times New Roman" w:hAnsi="Times New Roman" w:cs="Times New Roman"/>
          <w:bCs/>
          <w:color w:val="000000" w:themeColor="text1"/>
          <w:sz w:val="24"/>
          <w:szCs w:val="24"/>
          <w14:textFill>
            <w14:solidFill>
              <w14:schemeClr w14:val="tx1"/>
            </w14:solidFill>
          </w14:textFill>
        </w:rPr>
        <w:t>未按要求密封和加写标记，</w:t>
      </w:r>
      <w:r>
        <w:rPr>
          <w:rFonts w:hint="eastAsia" w:ascii="Times New Roman" w:hAnsi="Times New Roman" w:cs="Times New Roman"/>
          <w:bCs/>
          <w:color w:val="000000" w:themeColor="text1"/>
          <w:sz w:val="24"/>
          <w:szCs w:val="24"/>
          <w:lang w:eastAsia="zh-CN"/>
          <w14:textFill>
            <w14:solidFill>
              <w14:schemeClr w14:val="tx1"/>
            </w14:solidFill>
          </w14:textFill>
        </w:rPr>
        <w:t>招标人</w:t>
      </w:r>
      <w:r>
        <w:rPr>
          <w:rFonts w:ascii="Times New Roman" w:hAnsi="Times New Roman" w:cs="Times New Roman"/>
          <w:bCs/>
          <w:color w:val="000000" w:themeColor="text1"/>
          <w:sz w:val="24"/>
          <w:szCs w:val="24"/>
          <w14:textFill>
            <w14:solidFill>
              <w14:schemeClr w14:val="tx1"/>
            </w14:solidFill>
          </w14:textFill>
        </w:rPr>
        <w:t>对误投或过早启封概不负责。对由此造成提前开封的投标文件，</w:t>
      </w:r>
      <w:r>
        <w:rPr>
          <w:rFonts w:hint="eastAsia" w:ascii="Times New Roman" w:hAnsi="Times New Roman" w:cs="Times New Roman"/>
          <w:bCs/>
          <w:color w:val="000000" w:themeColor="text1"/>
          <w:sz w:val="24"/>
          <w:szCs w:val="24"/>
          <w:lang w:eastAsia="zh-CN"/>
          <w14:textFill>
            <w14:solidFill>
              <w14:schemeClr w14:val="tx1"/>
            </w14:solidFill>
          </w14:textFill>
        </w:rPr>
        <w:t>招标人</w:t>
      </w:r>
      <w:r>
        <w:rPr>
          <w:rFonts w:ascii="Times New Roman" w:hAnsi="Times New Roman" w:cs="Times New Roman"/>
          <w:bCs/>
          <w:color w:val="000000" w:themeColor="text1"/>
          <w:sz w:val="24"/>
          <w:szCs w:val="24"/>
          <w14:textFill>
            <w14:solidFill>
              <w14:schemeClr w14:val="tx1"/>
            </w14:solidFill>
          </w14:textFill>
        </w:rPr>
        <w:t>将予以拒绝，作无效投标处理。</w:t>
      </w:r>
    </w:p>
    <w:p w14:paraId="7B5E958E">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16.</w:t>
      </w:r>
      <w:r>
        <w:rPr>
          <w:rFonts w:ascii="Times New Roman" w:hAnsi="Times New Roman" w:cs="Times New Roman"/>
          <w:b/>
          <w:color w:val="000000" w:themeColor="text1"/>
          <w:sz w:val="24"/>
          <w:szCs w:val="24"/>
          <w14:textFill>
            <w14:solidFill>
              <w14:schemeClr w14:val="tx1"/>
            </w14:solidFill>
          </w14:textFill>
        </w:rPr>
        <w:t>投标截止日期</w:t>
      </w:r>
    </w:p>
    <w:p w14:paraId="5AD7539D">
      <w:pPr>
        <w:snapToGrid w:val="0"/>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16.1</w:t>
      </w:r>
      <w:r>
        <w:rPr>
          <w:rFonts w:ascii="Times New Roman" w:hAnsi="Times New Roman" w:cs="Times New Roman"/>
          <w:bCs/>
          <w:color w:val="000000" w:themeColor="text1"/>
          <w:sz w:val="24"/>
          <w:szCs w:val="24"/>
          <w14:textFill>
            <w14:solidFill>
              <w14:schemeClr w14:val="tx1"/>
            </w14:solidFill>
          </w14:textFill>
        </w:rPr>
        <w:t xml:space="preserve"> </w:t>
      </w:r>
      <w:r>
        <w:rPr>
          <w:rFonts w:hint="eastAsia" w:ascii="Times New Roman" w:hAnsi="Times New Roman" w:cs="Times New Roman"/>
          <w:bCs/>
          <w:color w:val="000000" w:themeColor="text1"/>
          <w:sz w:val="24"/>
          <w:szCs w:val="24"/>
          <w:lang w:eastAsia="zh-CN"/>
          <w14:textFill>
            <w14:solidFill>
              <w14:schemeClr w14:val="tx1"/>
            </w14:solidFill>
          </w14:textFill>
        </w:rPr>
        <w:t>招标人</w:t>
      </w:r>
      <w:r>
        <w:rPr>
          <w:rFonts w:ascii="Times New Roman" w:hAnsi="Times New Roman" w:cs="Times New Roman"/>
          <w:bCs/>
          <w:color w:val="000000" w:themeColor="text1"/>
          <w:sz w:val="24"/>
          <w:szCs w:val="24"/>
          <w14:textFill>
            <w14:solidFill>
              <w14:schemeClr w14:val="tx1"/>
            </w14:solidFill>
          </w14:textFill>
        </w:rPr>
        <w:t>收到投标文件的时间不得迟于采购公告中规定的截止时间。</w:t>
      </w:r>
    </w:p>
    <w:p w14:paraId="1EBB1A10">
      <w:pPr>
        <w:snapToGrid w:val="0"/>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16.2</w:t>
      </w:r>
      <w:r>
        <w:rPr>
          <w:rFonts w:ascii="Times New Roman" w:hAnsi="Times New Roman" w:cs="Times New Roman"/>
          <w:bCs/>
          <w:color w:val="000000" w:themeColor="text1"/>
          <w:sz w:val="24"/>
          <w:szCs w:val="24"/>
          <w14:textFill>
            <w14:solidFill>
              <w14:schemeClr w14:val="tx1"/>
            </w14:solidFill>
          </w14:textFill>
        </w:rPr>
        <w:t xml:space="preserve"> </w:t>
      </w:r>
      <w:r>
        <w:rPr>
          <w:rFonts w:hint="eastAsia" w:ascii="Times New Roman" w:hAnsi="Times New Roman" w:cs="Times New Roman"/>
          <w:bCs/>
          <w:color w:val="000000" w:themeColor="text1"/>
          <w:sz w:val="24"/>
          <w:szCs w:val="24"/>
          <w:lang w:eastAsia="zh-CN"/>
          <w14:textFill>
            <w14:solidFill>
              <w14:schemeClr w14:val="tx1"/>
            </w14:solidFill>
          </w14:textFill>
        </w:rPr>
        <w:t>招标人</w:t>
      </w:r>
      <w:r>
        <w:rPr>
          <w:rFonts w:ascii="Times New Roman" w:hAnsi="Times New Roman" w:cs="Times New Roman"/>
          <w:bCs/>
          <w:color w:val="000000" w:themeColor="text1"/>
          <w:sz w:val="24"/>
          <w:szCs w:val="24"/>
          <w14:textFill>
            <w14:solidFill>
              <w14:schemeClr w14:val="tx1"/>
            </w14:solidFill>
          </w14:textFill>
        </w:rPr>
        <w:t>可以按照规定，通过修改采购文件有权酌情延长投标截止日期，在此情况下，投标人的所有权利和义务以及投标人受制的截止日期均应以延长后新的截止日期为准。</w:t>
      </w:r>
    </w:p>
    <w:p w14:paraId="027EEF3A">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17.</w:t>
      </w:r>
      <w:r>
        <w:rPr>
          <w:rFonts w:ascii="Times New Roman" w:hAnsi="Times New Roman" w:cs="Times New Roman"/>
          <w:b/>
          <w:color w:val="000000" w:themeColor="text1"/>
          <w:sz w:val="24"/>
          <w:szCs w:val="24"/>
          <w14:textFill>
            <w14:solidFill>
              <w14:schemeClr w14:val="tx1"/>
            </w14:solidFill>
          </w14:textFill>
        </w:rPr>
        <w:t>迟交的投标文件</w:t>
      </w:r>
    </w:p>
    <w:p w14:paraId="49C0C403">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迟交的投标文件将被拒收并原封退回。</w:t>
      </w:r>
    </w:p>
    <w:p w14:paraId="7D7B3105">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18.</w:t>
      </w:r>
      <w:r>
        <w:rPr>
          <w:rFonts w:ascii="Times New Roman" w:hAnsi="Times New Roman" w:cs="Times New Roman"/>
          <w:b/>
          <w:color w:val="000000" w:themeColor="text1"/>
          <w:sz w:val="24"/>
          <w:szCs w:val="24"/>
          <w14:textFill>
            <w14:solidFill>
              <w14:schemeClr w14:val="tx1"/>
            </w14:solidFill>
          </w14:textFill>
        </w:rPr>
        <w:t>投标文件的修改和撤回</w:t>
      </w:r>
    </w:p>
    <w:p w14:paraId="788BDBD7">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18.1投标人在递交投标书后，在规定的投标截止日期前可以修改或撤回其投标文件。修改文件必须在投标截止时间前送达。</w:t>
      </w:r>
    </w:p>
    <w:p w14:paraId="7FF96188">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18.2投标截止日期后不可对其投标文件作任何修改或撤回。</w:t>
      </w:r>
    </w:p>
    <w:p w14:paraId="0232BB9B">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五、开标与评标</w:t>
      </w:r>
    </w:p>
    <w:p w14:paraId="64410AF1">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19.</w:t>
      </w:r>
      <w:r>
        <w:rPr>
          <w:rFonts w:ascii="Times New Roman" w:hAnsi="Times New Roman" w:cs="Times New Roman"/>
          <w:b/>
          <w:color w:val="000000" w:themeColor="text1"/>
          <w:sz w:val="24"/>
          <w:szCs w:val="24"/>
          <w14:textFill>
            <w14:solidFill>
              <w14:schemeClr w14:val="tx1"/>
            </w14:solidFill>
          </w14:textFill>
        </w:rPr>
        <w:t>开标</w:t>
      </w:r>
    </w:p>
    <w:p w14:paraId="0D93F3A5">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19.l</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将在采购文件中规定的时间和地址组织公开开标。投标人法人代表或授权代表须携本人身份证原件参加，如有必要可以让投标人有一定时间的陈述，或</w:t>
      </w:r>
      <w:r>
        <w:rPr>
          <w:rFonts w:hint="eastAsia" w:ascii="Times New Roman" w:hAnsi="Times New Roman" w:cs="Times New Roman"/>
          <w:color w:val="000000" w:themeColor="text1"/>
          <w:sz w:val="24"/>
          <w:szCs w:val="24"/>
          <w:lang w:eastAsia="zh-CN"/>
          <w14:textFill>
            <w14:solidFill>
              <w14:schemeClr w14:val="tx1"/>
            </w14:solidFill>
          </w14:textFill>
        </w:rPr>
        <w:t>接受</w:t>
      </w:r>
      <w:r>
        <w:rPr>
          <w:rFonts w:ascii="Times New Roman" w:hAnsi="Times New Roman" w:cs="Times New Roman"/>
          <w:color w:val="000000" w:themeColor="text1"/>
          <w:sz w:val="24"/>
          <w:szCs w:val="24"/>
          <w14:textFill>
            <w14:solidFill>
              <w14:schemeClr w14:val="tx1"/>
            </w14:solidFill>
          </w14:textFill>
        </w:rPr>
        <w:t>评标工作组成员的提问后退场。</w:t>
      </w:r>
    </w:p>
    <w:p w14:paraId="320FF81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19.2开标时请投标人授权代表查验投标文件密封情况，确认无误后，</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当众拆封宣读每份投标文件中“开标一览表”的各项内容，未列入开标一览表的内容一律不在开标时宣读。开标时未宣读的投标报价信息，不得在评标时采用。</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将指定专人负责开标记录并存档备查，各投标人需仔细核对开标记录相关内容并签字确认。</w:t>
      </w:r>
    </w:p>
    <w:p w14:paraId="5281D9E4">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20.</w:t>
      </w:r>
      <w:r>
        <w:rPr>
          <w:rFonts w:ascii="Times New Roman" w:hAnsi="Times New Roman" w:cs="Times New Roman"/>
          <w:b/>
          <w:color w:val="000000" w:themeColor="text1"/>
          <w:sz w:val="24"/>
          <w:szCs w:val="24"/>
          <w14:textFill>
            <w14:solidFill>
              <w14:schemeClr w14:val="tx1"/>
            </w14:solidFill>
          </w14:textFill>
        </w:rPr>
        <w:t>评标过程的保密与公正</w:t>
      </w:r>
    </w:p>
    <w:p w14:paraId="42388925">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20.l公开开标后，直至通知投标人中标为止，凡是与审查、澄清、评价和比较投标的有关资料，均不得向投标人或与评标无关的人员透露。</w:t>
      </w:r>
    </w:p>
    <w:p w14:paraId="51C57D2B">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20.2投标人试图影响评标或授予合同方面的任何尝试，可能导致该投标人的标被废弃。</w:t>
      </w:r>
    </w:p>
    <w:p w14:paraId="5AC47DB3">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21.</w:t>
      </w:r>
      <w:r>
        <w:rPr>
          <w:rFonts w:ascii="Times New Roman" w:hAnsi="Times New Roman" w:cs="Times New Roman"/>
          <w:b/>
          <w:color w:val="000000" w:themeColor="text1"/>
          <w:sz w:val="24"/>
          <w:szCs w:val="24"/>
          <w14:textFill>
            <w14:solidFill>
              <w14:schemeClr w14:val="tx1"/>
            </w14:solidFill>
          </w14:textFill>
        </w:rPr>
        <w:t>投标的澄清</w:t>
      </w:r>
    </w:p>
    <w:p w14:paraId="14DBB4C1">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21.1评标期间，为</w:t>
      </w:r>
      <w:r>
        <w:rPr>
          <w:rFonts w:hint="eastAsia" w:ascii="Times New Roman" w:hAnsi="Times New Roman" w:cs="Times New Roman"/>
          <w:color w:val="000000" w:themeColor="text1"/>
          <w:sz w:val="24"/>
          <w:szCs w:val="24"/>
          <w:lang w:eastAsia="zh-CN"/>
          <w14:textFill>
            <w14:solidFill>
              <w14:schemeClr w14:val="tx1"/>
            </w14:solidFill>
          </w14:textFill>
        </w:rPr>
        <w:t>有助于</w:t>
      </w:r>
      <w:r>
        <w:rPr>
          <w:rFonts w:ascii="Times New Roman" w:hAnsi="Times New Roman" w:cs="Times New Roman"/>
          <w:color w:val="000000" w:themeColor="text1"/>
          <w:sz w:val="24"/>
          <w:szCs w:val="24"/>
          <w14:textFill>
            <w14:solidFill>
              <w14:schemeClr w14:val="tx1"/>
            </w14:solidFill>
          </w14:textFill>
        </w:rPr>
        <w:t>投标文件的审查、评价和比较，评标工作组有权要求投标人对其投标文件进行澄清，但并非对每个投标人都作澄清要求。</w:t>
      </w:r>
    </w:p>
    <w:p w14:paraId="1ACB6E7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21.2接到澄清要求的投标人应派人按要求</w:t>
      </w:r>
      <w:r>
        <w:rPr>
          <w:rFonts w:hint="eastAsia" w:ascii="Times New Roman" w:hAnsi="Times New Roman" w:cs="Times New Roman"/>
          <w:color w:val="000000" w:themeColor="text1"/>
          <w:sz w:val="24"/>
          <w:szCs w:val="24"/>
          <w:lang w:eastAsia="zh-CN"/>
          <w14:textFill>
            <w14:solidFill>
              <w14:schemeClr w14:val="tx1"/>
            </w14:solidFill>
          </w14:textFill>
        </w:rPr>
        <w:t>作出</w:t>
      </w:r>
      <w:r>
        <w:rPr>
          <w:rFonts w:ascii="Times New Roman" w:hAnsi="Times New Roman" w:cs="Times New Roman"/>
          <w:color w:val="000000" w:themeColor="text1"/>
          <w:sz w:val="24"/>
          <w:szCs w:val="24"/>
          <w14:textFill>
            <w14:solidFill>
              <w14:schemeClr w14:val="tx1"/>
            </w14:solidFill>
          </w14:textFill>
        </w:rPr>
        <w:t>澄清，书面澄清的内容须由投标人法定代表人或授权代表签署，并作为投标文件的补充部分，但投标的价格和实质性的内容不得做任何更改。</w:t>
      </w:r>
    </w:p>
    <w:p w14:paraId="0A084F4A">
      <w:pPr>
        <w:snapToGrid w:val="0"/>
        <w:spacing w:line="360" w:lineRule="auto"/>
        <w:ind w:firstLine="48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21.3接到澄清要求的投标人如未按规定</w:t>
      </w:r>
      <w:r>
        <w:rPr>
          <w:rFonts w:hint="eastAsia" w:ascii="Times New Roman" w:hAnsi="Times New Roman" w:cs="Times New Roman"/>
          <w:color w:val="000000" w:themeColor="text1"/>
          <w:sz w:val="24"/>
          <w:szCs w:val="24"/>
          <w:lang w:eastAsia="zh-CN"/>
          <w14:textFill>
            <w14:solidFill>
              <w14:schemeClr w14:val="tx1"/>
            </w14:solidFill>
          </w14:textFill>
        </w:rPr>
        <w:t>作出</w:t>
      </w:r>
      <w:r>
        <w:rPr>
          <w:rFonts w:ascii="Times New Roman" w:hAnsi="Times New Roman" w:cs="Times New Roman"/>
          <w:color w:val="000000" w:themeColor="text1"/>
          <w:sz w:val="24"/>
          <w:szCs w:val="24"/>
          <w14:textFill>
            <w14:solidFill>
              <w14:schemeClr w14:val="tx1"/>
            </w14:solidFill>
          </w14:textFill>
        </w:rPr>
        <w:t>澄清，其风险由投标人自行承担。</w:t>
      </w:r>
    </w:p>
    <w:p w14:paraId="07A45E4B">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22.</w:t>
      </w:r>
      <w:r>
        <w:rPr>
          <w:rFonts w:ascii="Times New Roman" w:hAnsi="Times New Roman" w:cs="Times New Roman"/>
          <w:b/>
          <w:color w:val="000000" w:themeColor="text1"/>
          <w:sz w:val="24"/>
          <w:szCs w:val="24"/>
          <w14:textFill>
            <w14:solidFill>
              <w14:schemeClr w14:val="tx1"/>
            </w14:solidFill>
          </w14:textFill>
        </w:rPr>
        <w:t>对投标文件的初审</w:t>
      </w:r>
    </w:p>
    <w:p w14:paraId="0E87C88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22.1投标文件初审分为资格性检查和符合性检查。</w:t>
      </w:r>
    </w:p>
    <w:p w14:paraId="5F7535C2">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资格性检查：依据法律法规和采购文件的规定，由</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对投标文件中的资格证明文件进行审查。资格审查的结论，</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以书面形式向评标工作组进行反馈。</w:t>
      </w:r>
    </w:p>
    <w:p w14:paraId="1468B22C">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接受联合体的项目，两个以上的自然人、法人或者其他组织组成一个联合体，以一个投标人的身份共同参加政府采购活动的，联合体成员存在不良信用记录的，视同联合体存在不良应用记录。</w:t>
      </w:r>
    </w:p>
    <w:p w14:paraId="05764995">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符合性检查：依据采购文件的规定，由评标工作组从投标文件的有效性、完整性和对采购文件的响应程度进行审查，以确定是否对采购文件的实质性要求作出响应。</w:t>
      </w:r>
    </w:p>
    <w:p w14:paraId="43FAE563">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22.2在详细评标之前，评标工作组将首先审查每份投标文件是否实质性响应了采购文件的要求。实质性响应的投标应该是与采购文件要求的全部条款、条件和规格相符，没有重大偏离或保留的投标。</w:t>
      </w:r>
    </w:p>
    <w:p w14:paraId="597345B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所谓重大偏离或保留是指与采购文件规定的实质性要求存在负偏离，或者在实质上与采购文件不一致，而且限制了合同中买方和见证方的权利或投标人的义务，纠正这些偏离或保留将会对其他实质性响应要求的投标人的竞争地位产生不公正的影响。重大偏离的认定需经过评标工作组三</w:t>
      </w:r>
      <w:r>
        <w:rPr>
          <w:rFonts w:hint="eastAsia" w:ascii="Times New Roman" w:hAnsi="Times New Roman" w:cs="Times New Roman"/>
          <w:color w:val="000000" w:themeColor="text1"/>
          <w:sz w:val="24"/>
          <w:szCs w:val="24"/>
          <w:lang w:eastAsia="zh-CN"/>
          <w14:textFill>
            <w14:solidFill>
              <w14:schemeClr w14:val="tx1"/>
            </w14:solidFill>
          </w14:textFill>
        </w:rPr>
        <w:t>分之</w:t>
      </w:r>
      <w:r>
        <w:rPr>
          <w:rFonts w:ascii="Times New Roman" w:hAnsi="Times New Roman" w:cs="Times New Roman"/>
          <w:color w:val="000000" w:themeColor="text1"/>
          <w:sz w:val="24"/>
          <w:szCs w:val="24"/>
          <w14:textFill>
            <w14:solidFill>
              <w14:schemeClr w14:val="tx1"/>
            </w14:solidFill>
          </w14:textFill>
        </w:rPr>
        <w:t>二及以上成员的认定。评委决定投标文件的响应性只根据投标文件本身的内容，而不寻求外部的证据。</w:t>
      </w:r>
    </w:p>
    <w:p w14:paraId="7E7E1991">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22.3如果投标文件实质上没有响应采购文件的要求，评标工作组将予以拒绝，投标人不得通过修改或撤销</w:t>
      </w:r>
      <w:r>
        <w:rPr>
          <w:rFonts w:hint="eastAsia" w:ascii="Times New Roman" w:hAnsi="Times New Roman" w:cs="Times New Roman"/>
          <w:color w:val="000000" w:themeColor="text1"/>
          <w:sz w:val="24"/>
          <w:szCs w:val="24"/>
          <w:lang w:eastAsia="zh-CN"/>
          <w14:textFill>
            <w14:solidFill>
              <w14:schemeClr w14:val="tx1"/>
            </w14:solidFill>
          </w14:textFill>
        </w:rPr>
        <w:t>不符</w:t>
      </w:r>
      <w:r>
        <w:rPr>
          <w:rFonts w:ascii="Times New Roman" w:hAnsi="Times New Roman" w:cs="Times New Roman"/>
          <w:color w:val="000000" w:themeColor="text1"/>
          <w:sz w:val="24"/>
          <w:szCs w:val="24"/>
          <w14:textFill>
            <w14:solidFill>
              <w14:schemeClr w14:val="tx1"/>
            </w14:solidFill>
          </w14:textFill>
        </w:rPr>
        <w:t>合要求的偏离或保留而使其投标成为实质性响应的投标。</w:t>
      </w:r>
    </w:p>
    <w:p w14:paraId="7F4DBBB9">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22.4评标工作组将对确定为实质性响应的投标进行进一步审核，看其是否有计算上或累加上的算术错误，修正错误的原则如下：</w:t>
      </w:r>
    </w:p>
    <w:p w14:paraId="5E3071FE">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如果用数字表示的金额和用文字表示的金额不一致时，应以文字表示的金额为准进行修正；</w:t>
      </w:r>
    </w:p>
    <w:p w14:paraId="01745464">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当单价与数量的乘积和总价不一致时，以单价为准进行修正。只有在评标工作组认为单价有明显的小数点错误时，才能以标出的总价为准，并修改单价。</w:t>
      </w:r>
    </w:p>
    <w:p w14:paraId="1F3ABF3D">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22.5评标工作组将按上述修正错误的方法调整投标文件中的投标报价，调整后的价格应对投标人具有约束力。如果投标人不接受修正后的价格，则其投标将被拒绝。</w:t>
      </w:r>
    </w:p>
    <w:p w14:paraId="787767C0">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22.6评标工作组将允许修正投标文件中不构成重大偏离的、微小的、非正规的、不一致的或不规则的地方，但这些修改不能影响任何投标人相应的名次排列。</w:t>
      </w:r>
    </w:p>
    <w:p w14:paraId="5A52DCE5">
      <w:pPr>
        <w:shd w:val="clear" w:color="auto" w:fill="FFFFFF"/>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23.</w:t>
      </w:r>
      <w:r>
        <w:rPr>
          <w:rFonts w:ascii="Times New Roman" w:hAnsi="Times New Roman" w:cs="Times New Roman"/>
          <w:b/>
          <w:color w:val="000000" w:themeColor="text1"/>
          <w:sz w:val="24"/>
          <w:szCs w:val="24"/>
          <w14:textFill>
            <w14:solidFill>
              <w14:schemeClr w14:val="tx1"/>
            </w14:solidFill>
          </w14:textFill>
        </w:rPr>
        <w:t>无效投标条款和废标条款</w:t>
      </w:r>
    </w:p>
    <w:p w14:paraId="65383A68">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23.1无效投标条款：</w:t>
      </w:r>
    </w:p>
    <w:p w14:paraId="02061EB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）未按照采购文件规定要求密封、签署、盖章的；</w:t>
      </w:r>
    </w:p>
    <w:p w14:paraId="32D745FE">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）投标人在报价时采用选择性报价的；</w:t>
      </w:r>
    </w:p>
    <w:p w14:paraId="345D3623">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）投标人不具备采购文件中规定资格要求的；</w:t>
      </w:r>
    </w:p>
    <w:p w14:paraId="4D4A8CA2">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）投标人的报价超过了采购预算或最高限价的；</w:t>
      </w:r>
    </w:p>
    <w:p w14:paraId="241F93BE">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5</w:t>
      </w:r>
      <w:r>
        <w:rPr>
          <w:rFonts w:ascii="Times New Roman" w:hAnsi="Times New Roman" w:cs="Times New Roman"/>
          <w:color w:val="000000" w:themeColor="text1"/>
          <w:sz w:val="24"/>
          <w:szCs w:val="24"/>
          <w14:textFill>
            <w14:solidFill>
              <w14:schemeClr w14:val="tx1"/>
            </w14:solidFill>
          </w14:textFill>
        </w:rPr>
        <w:t>）未通过符合性检查的；</w:t>
      </w:r>
    </w:p>
    <w:p w14:paraId="3691728E">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6</w:t>
      </w:r>
      <w:r>
        <w:rPr>
          <w:rFonts w:ascii="Times New Roman" w:hAnsi="Times New Roman" w:cs="Times New Roman"/>
          <w:color w:val="000000" w:themeColor="text1"/>
          <w:sz w:val="24"/>
          <w:szCs w:val="24"/>
          <w14:textFill>
            <w14:solidFill>
              <w14:schemeClr w14:val="tx1"/>
            </w14:solidFill>
          </w14:textFill>
        </w:rPr>
        <w:t>）不符合采购文件中规定的其他实质性要求和条件的；</w:t>
      </w:r>
    </w:p>
    <w:p w14:paraId="44D7AB3C">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7</w:t>
      </w:r>
      <w:r>
        <w:rPr>
          <w:rFonts w:ascii="Times New Roman" w:hAnsi="Times New Roman" w:cs="Times New Roman"/>
          <w:color w:val="000000" w:themeColor="text1"/>
          <w:sz w:val="24"/>
          <w:szCs w:val="24"/>
          <w14:textFill>
            <w14:solidFill>
              <w14:schemeClr w14:val="tx1"/>
            </w14:solidFill>
          </w14:textFill>
        </w:rPr>
        <w:t>）投标文件含有</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不能接受的附加条件的；</w:t>
      </w:r>
    </w:p>
    <w:p w14:paraId="06604C5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8</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评标工作组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工作组应当将其作为无效投标处理。</w:t>
      </w:r>
    </w:p>
    <w:p w14:paraId="1CCBDECF">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9</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bCs/>
          <w:color w:val="000000" w:themeColor="text1"/>
          <w:sz w:val="24"/>
          <w:szCs w:val="24"/>
          <w14:textFill>
            <w14:solidFill>
              <w14:schemeClr w14:val="tx1"/>
            </w14:solidFill>
          </w14:textFill>
        </w:rPr>
        <w:t>其他</w:t>
      </w:r>
      <w:r>
        <w:rPr>
          <w:rFonts w:hint="eastAsia" w:ascii="Times New Roman" w:hAnsi="Times New Roman" w:cs="Times New Roman"/>
          <w:bCs/>
          <w:color w:val="000000" w:themeColor="text1"/>
          <w:sz w:val="24"/>
          <w:szCs w:val="24"/>
          <w:lang w:eastAsia="zh-CN"/>
          <w14:textFill>
            <w14:solidFill>
              <w14:schemeClr w14:val="tx1"/>
            </w14:solidFill>
          </w14:textFill>
        </w:rPr>
        <w:t>法律法规</w:t>
      </w:r>
      <w:r>
        <w:rPr>
          <w:rFonts w:ascii="Times New Roman" w:hAnsi="Times New Roman" w:cs="Times New Roman"/>
          <w:bCs/>
          <w:color w:val="000000" w:themeColor="text1"/>
          <w:sz w:val="24"/>
          <w:szCs w:val="24"/>
          <w14:textFill>
            <w14:solidFill>
              <w14:schemeClr w14:val="tx1"/>
            </w14:solidFill>
          </w14:textFill>
        </w:rPr>
        <w:t>及本采购文件规定的</w:t>
      </w:r>
      <w:r>
        <w:rPr>
          <w:rFonts w:hint="eastAsia" w:ascii="Times New Roman" w:hAnsi="Times New Roman" w:cs="Times New Roman"/>
          <w:bCs/>
          <w:color w:val="000000" w:themeColor="text1"/>
          <w:sz w:val="24"/>
          <w:szCs w:val="24"/>
          <w:lang w:eastAsia="zh-CN"/>
          <w14:textFill>
            <w14:solidFill>
              <w14:schemeClr w14:val="tx1"/>
            </w14:solidFill>
          </w14:textFill>
        </w:rPr>
        <w:t>属于</w:t>
      </w:r>
      <w:r>
        <w:rPr>
          <w:rFonts w:ascii="Times New Roman" w:hAnsi="Times New Roman" w:cs="Times New Roman"/>
          <w:bCs/>
          <w:color w:val="000000" w:themeColor="text1"/>
          <w:sz w:val="24"/>
          <w:szCs w:val="24"/>
          <w14:textFill>
            <w14:solidFill>
              <w14:schemeClr w14:val="tx1"/>
            </w14:solidFill>
          </w14:textFill>
        </w:rPr>
        <w:t>无效投标的情形。</w:t>
      </w:r>
    </w:p>
    <w:p w14:paraId="3F89CFF5">
      <w:pPr>
        <w:snapToGrid w:val="0"/>
        <w:spacing w:line="360" w:lineRule="auto"/>
        <w:ind w:left="479" w:leftChars="228"/>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23.2</w:t>
      </w:r>
      <w:r>
        <w:rPr>
          <w:rFonts w:ascii="Times New Roman" w:hAnsi="Times New Roman" w:cs="Times New Roman"/>
          <w:bCs/>
          <w:color w:val="000000" w:themeColor="text1"/>
          <w:sz w:val="24"/>
          <w:szCs w:val="24"/>
          <w14:textFill>
            <w14:solidFill>
              <w14:schemeClr w14:val="tx1"/>
            </w14:solidFill>
          </w14:textFill>
        </w:rPr>
        <w:t>废标条款：</w:t>
      </w:r>
    </w:p>
    <w:p w14:paraId="675D4E8D">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（1）符合专业条件的</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或者对采购文件作实质响应的投标人不足三家的；</w:t>
      </w:r>
    </w:p>
    <w:p w14:paraId="6044F4C5">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（2）出现影响采购公正的违法、违规行为的；</w:t>
      </w:r>
    </w:p>
    <w:p w14:paraId="1063177C">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（3）因重大变故，采购任务取消的；</w:t>
      </w:r>
    </w:p>
    <w:p w14:paraId="4078B4E9">
      <w:pPr>
        <w:snapToGrid w:val="0"/>
        <w:spacing w:line="360" w:lineRule="auto"/>
        <w:ind w:left="479" w:leftChars="228"/>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评标工作组</w:t>
      </w:r>
      <w:r>
        <w:rPr>
          <w:rFonts w:ascii="Times New Roman" w:hAnsi="Times New Roman" w:cs="Times New Roman"/>
          <w:bCs/>
          <w:color w:val="000000" w:themeColor="text1"/>
          <w:sz w:val="24"/>
          <w:szCs w:val="24"/>
          <w14:textFill>
            <w14:solidFill>
              <w14:schemeClr w14:val="tx1"/>
            </w14:solidFill>
          </w14:textFill>
        </w:rPr>
        <w:t>会认定采购文件存在歧义、重大缺陷导致评审工作无法进行。</w:t>
      </w:r>
    </w:p>
    <w:p w14:paraId="5D6C2816">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23.3</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本次采购，有效递交投标文件或符合要求的供应商不足三家时，项目评审终止后重新开展采购活动。重新开展采购活动后，可根据相关法律法规要求，选择其他采购方式。</w:t>
      </w:r>
    </w:p>
    <w:p w14:paraId="251A5FD3">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六、定标</w:t>
      </w:r>
    </w:p>
    <w:p w14:paraId="77519F10">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24.</w:t>
      </w:r>
      <w:r>
        <w:rPr>
          <w:rFonts w:ascii="Times New Roman" w:hAnsi="Times New Roman" w:cs="Times New Roman"/>
          <w:b/>
          <w:color w:val="000000" w:themeColor="text1"/>
          <w:sz w:val="24"/>
          <w:szCs w:val="24"/>
          <w14:textFill>
            <w14:solidFill>
              <w14:schemeClr w14:val="tx1"/>
            </w14:solidFill>
          </w14:textFill>
        </w:rPr>
        <w:t>确定中标单位</w:t>
      </w:r>
    </w:p>
    <w:p w14:paraId="7493BE3F">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24.1评标工作组首先对所有合格投标人按评标办法进行打分，根据综合得分，由高到低排列，向</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推荐中标候选人。</w:t>
      </w:r>
      <w:r>
        <w:rPr>
          <w:rFonts w:hint="eastAsia" w:ascii="Times New Roman" w:hAnsi="Times New Roman" w:cs="Times New Roman"/>
          <w:bCs/>
          <w:snapToGrid w:val="0"/>
          <w:color w:val="000000" w:themeColor="text1"/>
          <w:kern w:val="21"/>
          <w:sz w:val="24"/>
          <w:szCs w:val="24"/>
          <w:lang w:eastAsia="zh-CN"/>
          <w14:textFill>
            <w14:solidFill>
              <w14:schemeClr w14:val="tx1"/>
            </w14:solidFill>
          </w14:textFill>
        </w:rPr>
        <w:t>招标人</w:t>
      </w:r>
      <w:r>
        <w:rPr>
          <w:rFonts w:ascii="Times New Roman" w:hAnsi="Times New Roman" w:cs="Times New Roman"/>
          <w:bCs/>
          <w:snapToGrid w:val="0"/>
          <w:color w:val="000000" w:themeColor="text1"/>
          <w:kern w:val="21"/>
          <w:sz w:val="24"/>
          <w:szCs w:val="24"/>
          <w14:textFill>
            <w14:solidFill>
              <w14:schemeClr w14:val="tx1"/>
            </w14:solidFill>
          </w14:textFill>
        </w:rPr>
        <w:t>应根据</w:t>
      </w:r>
      <w:r>
        <w:rPr>
          <w:rFonts w:ascii="Times New Roman" w:hAnsi="Times New Roman" w:cs="Times New Roman"/>
          <w:color w:val="000000" w:themeColor="text1"/>
          <w:sz w:val="24"/>
          <w:szCs w:val="24"/>
          <w14:textFill>
            <w14:solidFill>
              <w14:schemeClr w14:val="tx1"/>
            </w14:solidFill>
          </w14:textFill>
        </w:rPr>
        <w:t>评标工作组</w:t>
      </w:r>
      <w:r>
        <w:rPr>
          <w:rFonts w:ascii="Times New Roman" w:hAnsi="Times New Roman" w:cs="Times New Roman"/>
          <w:bCs/>
          <w:snapToGrid w:val="0"/>
          <w:color w:val="000000" w:themeColor="text1"/>
          <w:kern w:val="21"/>
          <w:sz w:val="24"/>
          <w:szCs w:val="24"/>
          <w14:textFill>
            <w14:solidFill>
              <w14:schemeClr w14:val="tx1"/>
            </w14:solidFill>
          </w14:textFill>
        </w:rPr>
        <w:t>推荐的中标候选人确定中标人</w:t>
      </w:r>
      <w:r>
        <w:rPr>
          <w:rFonts w:ascii="Times New Roman" w:hAnsi="Times New Roman" w:cs="Times New Roman"/>
          <w:color w:val="000000" w:themeColor="text1"/>
          <w:sz w:val="24"/>
          <w:szCs w:val="24"/>
          <w14:textFill>
            <w14:solidFill>
              <w14:schemeClr w14:val="tx1"/>
            </w14:solidFill>
          </w14:textFill>
        </w:rPr>
        <w:t>。</w:t>
      </w:r>
    </w:p>
    <w:p w14:paraId="4B2B3FD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24.2中标人名单将在</w:t>
      </w:r>
      <w:r>
        <w:rPr>
          <w:rFonts w:hint="eastAsia" w:ascii="Times New Roman" w:hAnsi="Times New Roman" w:cs="Times New Roman"/>
          <w:color w:val="000000" w:themeColor="text1"/>
          <w:sz w:val="24"/>
          <w:szCs w:val="24"/>
          <w14:textFill>
            <w14:solidFill>
              <w14:schemeClr w14:val="tx1"/>
            </w14:solidFill>
          </w14:textFill>
        </w:rPr>
        <w:t>相关网站</w:t>
      </w:r>
      <w:r>
        <w:rPr>
          <w:rFonts w:ascii="Times New Roman" w:hAnsi="Times New Roman" w:cs="Times New Roman"/>
          <w:color w:val="000000" w:themeColor="text1"/>
          <w:sz w:val="24"/>
          <w:szCs w:val="24"/>
          <w14:textFill>
            <w14:solidFill>
              <w14:schemeClr w14:val="tx1"/>
            </w14:solidFill>
          </w14:textFill>
        </w:rPr>
        <w:t>上进行公示。</w:t>
      </w:r>
    </w:p>
    <w:p w14:paraId="3BA569DD">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24.3若有充分证据证明，中标人出现下列情况之一的，一经查实，将被取消中标资格：</w:t>
      </w:r>
    </w:p>
    <w:p w14:paraId="2D33FC9D">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（1）提供虚假材料谋取中标的；</w:t>
      </w:r>
    </w:p>
    <w:p w14:paraId="57643BBC">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（2）与评审专家、</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或者其他</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恶意串通的；</w:t>
      </w:r>
    </w:p>
    <w:p w14:paraId="17246257">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（3）向评审专家、</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行贿或者提供</w:t>
      </w:r>
      <w:r>
        <w:rPr>
          <w:rFonts w:hint="eastAsia" w:ascii="Times New Roman" w:hAnsi="Times New Roman" w:cs="Times New Roman"/>
          <w:color w:val="000000" w:themeColor="text1"/>
          <w:sz w:val="24"/>
          <w:szCs w:val="24"/>
          <w:lang w:eastAsia="zh-CN"/>
          <w14:textFill>
            <w14:solidFill>
              <w14:schemeClr w14:val="tx1"/>
            </w14:solidFill>
          </w14:textFill>
        </w:rPr>
        <w:t>其他不正当</w:t>
      </w:r>
      <w:r>
        <w:rPr>
          <w:rFonts w:ascii="Times New Roman" w:hAnsi="Times New Roman" w:cs="Times New Roman"/>
          <w:color w:val="000000" w:themeColor="text1"/>
          <w:sz w:val="24"/>
          <w:szCs w:val="24"/>
          <w14:textFill>
            <w14:solidFill>
              <w14:schemeClr w14:val="tx1"/>
            </w14:solidFill>
          </w14:textFill>
        </w:rPr>
        <w:t>利益的；</w:t>
      </w:r>
    </w:p>
    <w:p w14:paraId="0B6B3F20">
      <w:pPr>
        <w:snapToGrid w:val="0"/>
        <w:spacing w:line="360" w:lineRule="auto"/>
        <w:ind w:left="48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（4）恶意竞争，投标总报价明显低于其自身合理成本且又无法提供证明的；</w:t>
      </w:r>
    </w:p>
    <w:p w14:paraId="708558ED">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（5）不满足本采购文件规定的实质性要求，但在评标过程中又未被评标工作组发现的；</w:t>
      </w:r>
    </w:p>
    <w:p w14:paraId="11992A9F">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（6）不符合</w:t>
      </w:r>
      <w:r>
        <w:rPr>
          <w:rFonts w:hint="eastAsia" w:ascii="Times New Roman" w:hAnsi="Times New Roman" w:cs="Times New Roman"/>
          <w:color w:val="000000" w:themeColor="text1"/>
          <w:sz w:val="24"/>
          <w:szCs w:val="24"/>
          <w:lang w:eastAsia="zh-CN"/>
          <w14:textFill>
            <w14:solidFill>
              <w14:schemeClr w14:val="tx1"/>
            </w14:solidFill>
          </w14:textFill>
        </w:rPr>
        <w:t>法律法规</w:t>
      </w:r>
      <w:r>
        <w:rPr>
          <w:rFonts w:ascii="Times New Roman" w:hAnsi="Times New Roman" w:cs="Times New Roman"/>
          <w:color w:val="000000" w:themeColor="text1"/>
          <w:sz w:val="24"/>
          <w:szCs w:val="24"/>
          <w14:textFill>
            <w14:solidFill>
              <w14:schemeClr w14:val="tx1"/>
            </w14:solidFill>
          </w14:textFill>
        </w:rPr>
        <w:t>的规定的其它情形。</w:t>
      </w:r>
    </w:p>
    <w:p w14:paraId="5E82483F">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24.4有下列情形之一的，视为投标人串通投标，投标无效：</w:t>
      </w:r>
    </w:p>
    <w:p w14:paraId="57E32A51">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（1）不同投标人的投标文件由同一单位或者个人编制。</w:t>
      </w:r>
      <w:bookmarkStart w:id="82" w:name="_GoBack"/>
      <w:bookmarkEnd w:id="82"/>
    </w:p>
    <w:p w14:paraId="68343265">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（2）不同投标人委托同一单位或者个人办理投标事宜。</w:t>
      </w:r>
    </w:p>
    <w:p w14:paraId="24799691">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（3）不同投标人的投标文件载明的项目管理成员或者联系人员为同一人。</w:t>
      </w:r>
    </w:p>
    <w:p w14:paraId="4845258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（4）不同投标人的投标文件异常一致或者投标报价呈规律性差异。</w:t>
      </w:r>
    </w:p>
    <w:p w14:paraId="5EA1ECAF">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（5）不同投标人的投标文件相互混装。</w:t>
      </w:r>
    </w:p>
    <w:p w14:paraId="6DEF702C">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25.</w:t>
      </w:r>
      <w:r>
        <w:rPr>
          <w:rFonts w:ascii="Times New Roman" w:hAnsi="Times New Roman" w:cs="Times New Roman"/>
          <w:b/>
          <w:color w:val="000000" w:themeColor="text1"/>
          <w:sz w:val="24"/>
          <w:szCs w:val="24"/>
          <w14:textFill>
            <w14:solidFill>
              <w14:schemeClr w14:val="tx1"/>
            </w14:solidFill>
          </w14:textFill>
        </w:rPr>
        <w:t>质疑处理</w:t>
      </w:r>
    </w:p>
    <w:p w14:paraId="4A378F28">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25.1参加</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认为采购文件、采购过程和采购结果使自己的权益受到损害的，可以在知道或应知其权益受到损害之日起7个工作日内，以书面形式向</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提出质疑。</w:t>
      </w:r>
    </w:p>
    <w:p w14:paraId="1EFBDDC2">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（1）对可以质疑的采购文件提出质疑的，为收到采购文件之日或者采购文件公告期限届满之日；</w:t>
      </w:r>
    </w:p>
    <w:p w14:paraId="0E54F371">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（2）对采购过程提出质疑的，为各采购程序环节结束之日；</w:t>
      </w:r>
    </w:p>
    <w:p w14:paraId="26947834">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（3）对中标或者成交结果提出质疑的，为中标或者成交结果公告期限届满之日。</w:t>
      </w:r>
    </w:p>
    <w:p w14:paraId="2F4CCCA3">
      <w:pPr>
        <w:snapToGrid w:val="0"/>
        <w:spacing w:line="360" w:lineRule="auto"/>
        <w:ind w:firstLine="472" w:firstLineChars="197"/>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25.2质疑必须以参加</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法人代表或授权代表（投标文件中所确定的）送达的方式提交，未按上述要求提交的质疑函（含传真、电子邮件等）</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有权不予受理。</w:t>
      </w:r>
    </w:p>
    <w:p w14:paraId="43C57DDA">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25.3未参加投标的</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或在投标活动中本身权益未受到损害或从投标活动中受益的</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所提出的质疑也不予受理。</w:t>
      </w:r>
    </w:p>
    <w:p w14:paraId="78993EE1">
      <w:pPr>
        <w:snapToGrid w:val="0"/>
        <w:spacing w:line="360" w:lineRule="auto"/>
        <w:ind w:firstLine="468" w:firstLineChars="195"/>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25.4投标人提出书面质疑必须有理、有据，不得恶意质疑或提交虚假质疑。否则，</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将不予受理。</w:t>
      </w:r>
    </w:p>
    <w:p w14:paraId="11B383B8">
      <w:pPr>
        <w:snapToGrid w:val="0"/>
        <w:spacing w:line="360" w:lineRule="auto"/>
        <w:ind w:firstLine="468" w:firstLineChars="195"/>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25.5</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将在收到</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的书面质疑后在规定时间内作出答复，但答复的内容不得涉及商业秘密。</w:t>
      </w:r>
    </w:p>
    <w:p w14:paraId="7736EF4E">
      <w:pPr>
        <w:snapToGrid w:val="0"/>
        <w:spacing w:line="360" w:lineRule="auto"/>
        <w:ind w:firstLine="470" w:firstLineChars="195"/>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26.</w:t>
      </w:r>
      <w:r>
        <w:rPr>
          <w:rFonts w:ascii="Times New Roman" w:hAnsi="Times New Roman" w:cs="Times New Roman"/>
          <w:b/>
          <w:color w:val="000000" w:themeColor="text1"/>
          <w:sz w:val="24"/>
          <w:szCs w:val="24"/>
          <w14:textFill>
            <w14:solidFill>
              <w14:schemeClr w14:val="tx1"/>
            </w14:solidFill>
          </w14:textFill>
        </w:rPr>
        <w:t>中标通知书</w:t>
      </w:r>
    </w:p>
    <w:p w14:paraId="57C0052F">
      <w:pPr>
        <w:snapToGrid w:val="0"/>
        <w:spacing w:line="360" w:lineRule="auto"/>
        <w:ind w:firstLine="468" w:firstLineChars="195"/>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26.l中标结果质疑期满后，</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将向中标</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发出中标通知书。</w:t>
      </w:r>
    </w:p>
    <w:p w14:paraId="6C5ED326">
      <w:pPr>
        <w:snapToGrid w:val="0"/>
        <w:spacing w:line="360" w:lineRule="auto"/>
        <w:ind w:firstLine="468" w:firstLineChars="195"/>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26.2中标人收到中标通知书后，须立即以书面形式回复</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，确认中标通知书已收到。若无书面回复，则公告后视同中标人已经知悉并同意接受。</w:t>
      </w:r>
    </w:p>
    <w:p w14:paraId="1759F08C">
      <w:pPr>
        <w:snapToGrid w:val="0"/>
        <w:spacing w:line="360" w:lineRule="auto"/>
        <w:ind w:firstLine="468" w:firstLineChars="195"/>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26.3中标通知书将是合同的一个组成部分。对</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和中标</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均具有法律效力。中标通知书发出后，</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改变中标结果的，或者中标</w:t>
      </w:r>
      <w:r>
        <w:rPr>
          <w:rFonts w:hint="eastAsia" w:ascii="Times New Roman" w:hAnsi="Times New Roman" w:cs="Times New Roman"/>
          <w:color w:val="000000" w:themeColor="text1"/>
          <w:sz w:val="24"/>
          <w:szCs w:val="24"/>
          <w14:textFill>
            <w14:solidFill>
              <w14:schemeClr w14:val="tx1"/>
            </w14:solidFill>
          </w14:textFill>
        </w:rPr>
        <w:t>投标人</w:t>
      </w:r>
      <w:r>
        <w:rPr>
          <w:rFonts w:ascii="Times New Roman" w:hAnsi="Times New Roman" w:cs="Times New Roman"/>
          <w:color w:val="000000" w:themeColor="text1"/>
          <w:sz w:val="24"/>
          <w:szCs w:val="24"/>
          <w14:textFill>
            <w14:solidFill>
              <w14:schemeClr w14:val="tx1"/>
            </w14:solidFill>
          </w14:textFill>
        </w:rPr>
        <w:t>放弃中标项目的，应当依法承担法律责任。</w:t>
      </w:r>
    </w:p>
    <w:p w14:paraId="11ED357A">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七、授予合同</w:t>
      </w:r>
    </w:p>
    <w:p w14:paraId="67BD2A2E">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27.</w:t>
      </w:r>
      <w:r>
        <w:rPr>
          <w:rFonts w:ascii="Times New Roman" w:hAnsi="Times New Roman" w:cs="Times New Roman"/>
          <w:b/>
          <w:color w:val="000000" w:themeColor="text1"/>
          <w:sz w:val="24"/>
          <w:szCs w:val="24"/>
          <w14:textFill>
            <w14:solidFill>
              <w14:schemeClr w14:val="tx1"/>
            </w14:solidFill>
          </w14:textFill>
        </w:rPr>
        <w:t>签订合同</w:t>
      </w:r>
    </w:p>
    <w:p w14:paraId="658E718D">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27.1中标人在</w:t>
      </w:r>
      <w:r>
        <w:rPr>
          <w:rFonts w:ascii="Times New Roman" w:hAnsi="Times New Roman" w:cs="Times New Roman"/>
          <w:snapToGrid w:val="0"/>
          <w:color w:val="000000" w:themeColor="text1"/>
          <w:kern w:val="21"/>
          <w:sz w:val="24"/>
          <w:szCs w:val="24"/>
          <w14:textFill>
            <w14:solidFill>
              <w14:schemeClr w14:val="tx1"/>
            </w14:solidFill>
          </w14:textFill>
        </w:rPr>
        <w:t>中标通知书发出之日</w:t>
      </w:r>
      <w:r>
        <w:rPr>
          <w:rFonts w:ascii="Times New Roman" w:hAnsi="Times New Roman" w:cs="Times New Roman"/>
          <w:color w:val="000000" w:themeColor="text1"/>
          <w:sz w:val="24"/>
          <w:szCs w:val="24"/>
          <w14:textFill>
            <w14:solidFill>
              <w14:schemeClr w14:val="tx1"/>
            </w14:solidFill>
          </w14:textFill>
        </w:rPr>
        <w:t>起30日内派代表前来与</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具体商谈签订合同，若因中标人延误签订合同并由此给</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造成损失的，中标人应承担赔偿责任。</w:t>
      </w:r>
    </w:p>
    <w:p w14:paraId="17A94B17">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27.2采购文件、中标人的投标文件及澄清文件等，均为签订合同的依据。</w:t>
      </w:r>
    </w:p>
    <w:p w14:paraId="4354D458">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27.3签订合同后，</w:t>
      </w:r>
      <w:r>
        <w:rPr>
          <w:rFonts w:ascii="Times New Roman" w:hAnsi="Times New Roman" w:cs="Times New Roman"/>
          <w:b/>
          <w:color w:val="000000" w:themeColor="text1"/>
          <w:sz w:val="24"/>
          <w:szCs w:val="24"/>
          <w14:textFill>
            <w14:solidFill>
              <w14:schemeClr w14:val="tx1"/>
            </w14:solidFill>
          </w14:textFill>
        </w:rPr>
        <w:t>中标人不得将相关服务进行全部或部分转包。</w:t>
      </w:r>
      <w:r>
        <w:rPr>
          <w:rFonts w:ascii="Times New Roman" w:hAnsi="Times New Roman" w:cs="Times New Roman"/>
          <w:color w:val="000000" w:themeColor="text1"/>
          <w:sz w:val="24"/>
          <w:szCs w:val="24"/>
          <w14:textFill>
            <w14:solidFill>
              <w14:schemeClr w14:val="tx1"/>
            </w14:solidFill>
          </w14:textFill>
        </w:rPr>
        <w:t>未经</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同意，中标人也不得采用分包的形式履行合同，否则</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有权终止合同，中标人的履约保证金将不予退还。转包或分包造成</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损失的，中标人应承担相应赔偿责任。</w:t>
      </w:r>
    </w:p>
    <w:p w14:paraId="129CAE32">
      <w:pPr>
        <w:snapToGrid w:val="0"/>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hint="eastAsia" w:ascii="Times New Roman" w:hAnsi="Times New Roman" w:cs="Times New Roman"/>
          <w:b/>
          <w:color w:val="000000" w:themeColor="text1"/>
          <w:sz w:val="24"/>
          <w:szCs w:val="24"/>
          <w14:textFill>
            <w14:solidFill>
              <w14:schemeClr w14:val="tx1"/>
            </w14:solidFill>
          </w14:textFill>
        </w:rPr>
        <w:t>28.</w:t>
      </w:r>
      <w:r>
        <w:rPr>
          <w:rFonts w:ascii="Times New Roman" w:hAnsi="Times New Roman" w:cs="Times New Roman"/>
          <w:b/>
          <w:color w:val="000000" w:themeColor="text1"/>
          <w:sz w:val="24"/>
          <w:szCs w:val="24"/>
          <w14:textFill>
            <w14:solidFill>
              <w14:schemeClr w14:val="tx1"/>
            </w14:solidFill>
          </w14:textFill>
        </w:rPr>
        <w:t>服务的追加和减少</w:t>
      </w:r>
    </w:p>
    <w:p w14:paraId="5AEC4DB6">
      <w:pPr>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28.1采购合同履行中，需追加与合同标的相同的服务的，在不改变价格水平、合同及其它条款的前提下，</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可以与中标人协商签订补充合同，追加量不得超过合同总额的10%。</w:t>
      </w:r>
    </w:p>
    <w:p w14:paraId="240ED61A">
      <w:pPr>
        <w:snapToGrid w:val="0"/>
        <w:spacing w:line="360" w:lineRule="auto"/>
        <w:ind w:firstLine="480" w:firstLineChars="200"/>
        <w:rPr>
          <w:rFonts w:ascii="黑体" w:hAnsi="黑体" w:eastAsia="黑体" w:cs="黑体"/>
          <w:color w:val="000000" w:themeColor="text1"/>
          <w:kern w:val="44"/>
          <w:sz w:val="36"/>
          <w:szCs w:val="36"/>
          <w:u w:color="000000"/>
          <w:lang w:val="zh-TW"/>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28.2采购结束后，</w:t>
      </w:r>
      <w:r>
        <w:rPr>
          <w:rFonts w:hint="eastAsia" w:ascii="Times New Roman" w:hAnsi="Times New Roman" w:cs="Times New Roman"/>
          <w:color w:val="000000" w:themeColor="text1"/>
          <w:sz w:val="24"/>
          <w:szCs w:val="24"/>
          <w:lang w:eastAsia="zh-CN"/>
          <w14:textFill>
            <w14:solidFill>
              <w14:schemeClr w14:val="tx1"/>
            </w14:solidFill>
          </w14:textFill>
        </w:rPr>
        <w:t>招标人</w:t>
      </w:r>
      <w:r>
        <w:rPr>
          <w:rFonts w:ascii="Times New Roman" w:hAnsi="Times New Roman" w:cs="Times New Roman"/>
          <w:color w:val="000000" w:themeColor="text1"/>
          <w:sz w:val="24"/>
          <w:szCs w:val="24"/>
          <w14:textFill>
            <w14:solidFill>
              <w14:schemeClr w14:val="tx1"/>
            </w14:solidFill>
          </w14:textFill>
        </w:rPr>
        <w:t>若由于各种客观原因，必须对采购项目所牵涉的服务进行适当的减少时，在双方协商一致的前提下，可以按照中标时价格水平做相应的调减，并据此签订补充合同。</w:t>
      </w:r>
      <w:r>
        <w:rPr>
          <w:rFonts w:ascii="黑体" w:hAnsi="黑体" w:eastAsia="黑体" w:cs="黑体"/>
          <w:color w:val="000000" w:themeColor="text1"/>
          <w:kern w:val="44"/>
          <w:sz w:val="36"/>
          <w:szCs w:val="36"/>
          <w:u w:color="000000"/>
          <w:lang w:val="zh-TW"/>
          <w14:textFill>
            <w14:solidFill>
              <w14:schemeClr w14:val="tx1"/>
            </w14:solidFill>
          </w14:textFill>
        </w:rPr>
        <w:br w:type="page"/>
      </w:r>
    </w:p>
    <w:p w14:paraId="61C25020">
      <w:pPr>
        <w:spacing w:before="312" w:beforeLines="100" w:after="312" w:afterLines="100" w:line="360" w:lineRule="auto"/>
        <w:jc w:val="center"/>
        <w:outlineLvl w:val="0"/>
        <w:rPr>
          <w:rFonts w:hint="eastAsia" w:ascii="黑体" w:hAnsi="黑体" w:eastAsia="黑体" w:cs="黑体"/>
          <w:color w:val="000000" w:themeColor="text1"/>
          <w:kern w:val="44"/>
          <w:sz w:val="36"/>
          <w:szCs w:val="36"/>
          <w:u w:color="000000"/>
          <w:lang w:val="zh-TW"/>
          <w14:textFill>
            <w14:solidFill>
              <w14:schemeClr w14:val="tx1"/>
            </w14:solidFill>
          </w14:textFill>
        </w:rPr>
      </w:pPr>
      <w:bookmarkStart w:id="46" w:name="_Toc11859487"/>
      <w:r>
        <w:rPr>
          <w:rFonts w:ascii="黑体" w:hAnsi="黑体" w:eastAsia="黑体" w:cs="黑体"/>
          <w:color w:val="000000" w:themeColor="text1"/>
          <w:kern w:val="44"/>
          <w:sz w:val="36"/>
          <w:szCs w:val="36"/>
          <w:u w:color="000000"/>
          <w:lang w:val="zh-TW"/>
          <w14:textFill>
            <w14:solidFill>
              <w14:schemeClr w14:val="tx1"/>
            </w14:solidFill>
          </w14:textFill>
        </w:rPr>
        <w:t>第</w:t>
      </w:r>
      <w:r>
        <w:rPr>
          <w:rFonts w:hint="eastAsia" w:ascii="黑体" w:hAnsi="黑体" w:eastAsia="黑体" w:cs="黑体"/>
          <w:color w:val="000000" w:themeColor="text1"/>
          <w:kern w:val="44"/>
          <w:sz w:val="36"/>
          <w:szCs w:val="36"/>
          <w:u w:color="000000"/>
          <w:lang w:val="zh-TW"/>
          <w14:textFill>
            <w14:solidFill>
              <w14:schemeClr w14:val="tx1"/>
            </w14:solidFill>
          </w14:textFill>
        </w:rPr>
        <w:t>三</w:t>
      </w:r>
      <w:r>
        <w:rPr>
          <w:rFonts w:ascii="黑体" w:hAnsi="黑体" w:eastAsia="黑体" w:cs="黑体"/>
          <w:color w:val="000000" w:themeColor="text1"/>
          <w:kern w:val="44"/>
          <w:sz w:val="36"/>
          <w:szCs w:val="36"/>
          <w:u w:color="000000"/>
          <w:lang w:val="zh-TW"/>
          <w14:textFill>
            <w14:solidFill>
              <w14:schemeClr w14:val="tx1"/>
            </w14:solidFill>
          </w14:textFill>
        </w:rPr>
        <w:t xml:space="preserve">章  </w:t>
      </w:r>
      <w:r>
        <w:rPr>
          <w:rFonts w:hint="eastAsia" w:ascii="黑体" w:hAnsi="黑体" w:eastAsia="黑体" w:cs="黑体"/>
          <w:color w:val="000000" w:themeColor="text1"/>
          <w:kern w:val="44"/>
          <w:sz w:val="36"/>
          <w:szCs w:val="36"/>
          <w:u w:color="000000"/>
          <w:lang w:val="zh-TW"/>
          <w14:textFill>
            <w14:solidFill>
              <w14:schemeClr w14:val="tx1"/>
            </w14:solidFill>
          </w14:textFill>
        </w:rPr>
        <w:t>合同条款</w:t>
      </w:r>
      <w:bookmarkEnd w:id="46"/>
      <w:bookmarkStart w:id="47" w:name="_Toc11859488"/>
    </w:p>
    <w:p w14:paraId="3C68946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南京机电职业技术学院医务室托管服务合同</w:t>
      </w:r>
    </w:p>
    <w:p w14:paraId="585C612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 xml:space="preserve">甲方：                         </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以下简称甲方)</w:t>
      </w:r>
    </w:p>
    <w:p w14:paraId="4CD6965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 xml:space="preserve">乙方：                         </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以下简称乙 方)</w:t>
      </w:r>
    </w:p>
    <w:p w14:paraId="3EAB4B32">
      <w:pPr>
        <w:keepNext w:val="0"/>
        <w:keepLines w:val="0"/>
        <w:pageBreakBefore w:val="0"/>
        <w:widowControl/>
        <w:kinsoku w:val="0"/>
        <w:wordWrap/>
        <w:overflowPunct/>
        <w:topLinePunct w:val="0"/>
        <w:autoSpaceDE w:val="0"/>
        <w:autoSpaceDN w:val="0"/>
        <w:bidi w:val="0"/>
        <w:adjustRightInd w:val="0"/>
        <w:snapToGrid w:val="0"/>
        <w:spacing w:line="360" w:lineRule="auto"/>
        <w:ind w:firstLine="524" w:firstLineChars="200"/>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为进一步提高甲方校内医疗服务能力和水平，不断适应和满足广大师生的 健康需求，根据国家有关</w:t>
      </w:r>
      <w:r>
        <w:rPr>
          <w:rFonts w:hint="eastAsia" w:ascii="方正仿宋_GB2312" w:hAnsi="方正仿宋_GB2312" w:eastAsia="方正仿宋_GB2312" w:cs="方正仿宋_GB2312"/>
          <w:spacing w:val="-9"/>
          <w:sz w:val="28"/>
          <w:szCs w:val="28"/>
          <w:lang w:eastAsia="zh-CN"/>
        </w:rPr>
        <w:t>法律法规</w:t>
      </w:r>
      <w:r>
        <w:rPr>
          <w:rFonts w:hint="eastAsia" w:ascii="方正仿宋_GB2312" w:hAnsi="方正仿宋_GB2312" w:eastAsia="方正仿宋_GB2312" w:cs="方正仿宋_GB2312"/>
          <w:spacing w:val="-9"/>
          <w:sz w:val="28"/>
          <w:szCs w:val="28"/>
        </w:rPr>
        <w:t>，就甲方高淳新校区医务室托管服务事宜， 双方本着诚实守信、平等自愿的原则，经协商一致，订立本合同。</w:t>
      </w:r>
    </w:p>
    <w:p w14:paraId="6E8EEB1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第一条 托管服务内容</w:t>
      </w:r>
    </w:p>
    <w:p w14:paraId="7D85789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1、南京机电职业技术学院高淳新校区医务室的注册年审</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诊疗业务范围)等 事项。</w:t>
      </w:r>
    </w:p>
    <w:p w14:paraId="66159AC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2、全校师生的日常门诊诊疗服务。</w:t>
      </w:r>
    </w:p>
    <w:p w14:paraId="443E54B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3 、必要的校内出诊诊疗服务。</w:t>
      </w:r>
    </w:p>
    <w:p w14:paraId="198D8D7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4 、师生突发疾病、身体伤害的抢救、应急处理和转诊服务。</w:t>
      </w:r>
    </w:p>
    <w:p w14:paraId="09BB330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5 、所有校区的新生入学体检、毕业生体检和预防接种服务。收费</w:t>
      </w:r>
      <w:r>
        <w:rPr>
          <w:rFonts w:hint="eastAsia" w:ascii="方正仿宋_GB2312" w:hAnsi="方正仿宋_GB2312" w:eastAsia="方正仿宋_GB2312" w:cs="方正仿宋_GB2312"/>
          <w:spacing w:val="-9"/>
          <w:sz w:val="28"/>
          <w:szCs w:val="28"/>
          <w:lang w:eastAsia="zh-CN"/>
        </w:rPr>
        <w:t>标准</w:t>
      </w:r>
      <w:r>
        <w:rPr>
          <w:rFonts w:hint="eastAsia" w:ascii="方正仿宋_GB2312" w:hAnsi="方正仿宋_GB2312" w:eastAsia="方正仿宋_GB2312" w:cs="方正仿宋_GB2312"/>
          <w:spacing w:val="-9"/>
          <w:sz w:val="28"/>
          <w:szCs w:val="28"/>
        </w:rPr>
        <w:t>以教育 厅下发的文件执行</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每人86元)</w:t>
      </w:r>
    </w:p>
    <w:p w14:paraId="10E4802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6 、校园突发公共卫生事件、艾滋病、传染病等的预防和处理。</w:t>
      </w:r>
    </w:p>
    <w:p w14:paraId="3831B5C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7 、重大活动时</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如军训、运动会、庆典活动)医疗保障工作</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每年免费提供3次大型活动所需急救车服务</w:t>
      </w:r>
      <w:r>
        <w:rPr>
          <w:rFonts w:hint="eastAsia" w:ascii="方正仿宋_GB2312" w:hAnsi="方正仿宋_GB2312" w:eastAsia="方正仿宋_GB2312" w:cs="方正仿宋_GB2312"/>
          <w:spacing w:val="-9"/>
          <w:sz w:val="28"/>
          <w:szCs w:val="28"/>
          <w:lang w:eastAsia="zh-CN"/>
        </w:rPr>
        <w:t>。</w:t>
      </w:r>
    </w:p>
    <w:p w14:paraId="0580B15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8 、预防保健、健康常识和突发性事件的医疗应急处理等工作宣传讲座，并提供疾病、保健、健康咨询等医疗服务。</w:t>
      </w:r>
    </w:p>
    <w:p w14:paraId="2DCDF04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第二条 人员配备数量及条件要求</w:t>
      </w:r>
    </w:p>
    <w:p w14:paraId="0338AE5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1、乙方负责人必须具备</w:t>
      </w:r>
      <w:r>
        <w:rPr>
          <w:rFonts w:hint="eastAsia" w:ascii="方正仿宋_GB2312" w:hAnsi="方正仿宋_GB2312" w:eastAsia="方正仿宋_GB2312" w:cs="方正仿宋_GB2312"/>
          <w:spacing w:val="-9"/>
          <w:sz w:val="28"/>
          <w:szCs w:val="28"/>
          <w:lang w:val="en-US" w:eastAsia="zh-CN"/>
        </w:rPr>
        <w:t>中</w:t>
      </w:r>
      <w:r>
        <w:rPr>
          <w:rFonts w:hint="eastAsia" w:ascii="方正仿宋_GB2312" w:hAnsi="方正仿宋_GB2312" w:eastAsia="方正仿宋_GB2312" w:cs="方正仿宋_GB2312"/>
          <w:spacing w:val="-9"/>
          <w:sz w:val="28"/>
          <w:szCs w:val="28"/>
        </w:rPr>
        <w:t>级以上相关专业职称，安排在医务室工作的医务人 员必须具有相应执业资格，具有3年以上从医经历和丰富的临床经验，乙方安排的医务人员的工资报酬及劳保、保险等一切福利待遇，</w:t>
      </w:r>
      <w:r>
        <w:rPr>
          <w:rFonts w:hint="eastAsia" w:ascii="方正仿宋_GB2312" w:hAnsi="方正仿宋_GB2312" w:eastAsia="方正仿宋_GB2312" w:cs="方正仿宋_GB2312"/>
          <w:spacing w:val="-9"/>
          <w:sz w:val="28"/>
          <w:szCs w:val="28"/>
          <w:lang w:eastAsia="zh-CN"/>
        </w:rPr>
        <w:t>由乙方承担</w:t>
      </w:r>
      <w:r>
        <w:rPr>
          <w:rFonts w:hint="eastAsia" w:ascii="方正仿宋_GB2312" w:hAnsi="方正仿宋_GB2312" w:eastAsia="方正仿宋_GB2312" w:cs="方正仿宋_GB2312"/>
          <w:spacing w:val="-9"/>
          <w:sz w:val="28"/>
          <w:szCs w:val="28"/>
        </w:rPr>
        <w:t>。</w:t>
      </w:r>
    </w:p>
    <w:p w14:paraId="394BB02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2、乙方提供24小时医疗服务，白天门诊保证3名医务人员在岗</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至少1名执 业医师),夜间保证有2名医务人员值班</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至少1名执业医师)。</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学生全部放假离校后才可以安排不上班、不值班)。工作期间，不得擅自离岗。</w:t>
      </w:r>
    </w:p>
    <w:p w14:paraId="2E6376C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第三条 托管服务期限</w:t>
      </w:r>
    </w:p>
    <w:p w14:paraId="1CEB9AD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1、合同委托服务期限3年。</w:t>
      </w:r>
    </w:p>
    <w:p w14:paraId="54C7673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lang w:val="en-US" w:eastAsia="zh-CN"/>
        </w:rPr>
        <w:t>2</w:t>
      </w:r>
      <w:r>
        <w:rPr>
          <w:rFonts w:hint="eastAsia" w:ascii="方正仿宋_GB2312" w:hAnsi="方正仿宋_GB2312" w:eastAsia="方正仿宋_GB2312" w:cs="方正仿宋_GB2312"/>
          <w:spacing w:val="-9"/>
          <w:sz w:val="28"/>
          <w:szCs w:val="28"/>
        </w:rPr>
        <w:t>、合作期届满或按本合同规定</w:t>
      </w:r>
      <w:r>
        <w:rPr>
          <w:rFonts w:hint="eastAsia" w:ascii="方正仿宋_GB2312" w:hAnsi="方正仿宋_GB2312" w:eastAsia="方正仿宋_GB2312" w:cs="方正仿宋_GB2312"/>
          <w:spacing w:val="-9"/>
          <w:sz w:val="28"/>
          <w:szCs w:val="28"/>
          <w:lang w:eastAsia="zh-CN"/>
        </w:rPr>
        <w:t>终止</w:t>
      </w:r>
      <w:r>
        <w:rPr>
          <w:rFonts w:hint="eastAsia" w:ascii="方正仿宋_GB2312" w:hAnsi="方正仿宋_GB2312" w:eastAsia="方正仿宋_GB2312" w:cs="方正仿宋_GB2312"/>
          <w:spacing w:val="-9"/>
          <w:sz w:val="28"/>
          <w:szCs w:val="28"/>
        </w:rPr>
        <w:t>，甲方有权收回房屋。乙方应在合同终止日后的五个日历日内自行撤除乙方自有的设备、设施及一切物品。如超出约定期限，甲方有处置留存物品的权力， 由此造成的损失</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费用)由乙方承担。</w:t>
      </w:r>
    </w:p>
    <w:p w14:paraId="0DF8817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第四条 托管服务费用和支付办法</w:t>
      </w:r>
    </w:p>
    <w:p w14:paraId="5A299AF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1、为不断提升医疗服务水平，为甲方师生提供优质高效的医疗保障和就诊环境 ，甲方愿意每年补贴给乙方</w:t>
      </w:r>
      <w:r>
        <w:rPr>
          <w:rFonts w:hint="eastAsia" w:ascii="方正仿宋_GB2312" w:hAnsi="方正仿宋_GB2312" w:eastAsia="方正仿宋_GB2312" w:cs="方正仿宋_GB2312"/>
          <w:spacing w:val="-9"/>
          <w:sz w:val="28"/>
          <w:szCs w:val="28"/>
          <w:u w:val="single"/>
          <w:lang w:val="en-US" w:eastAsia="zh-CN"/>
        </w:rPr>
        <w:t xml:space="preserve">          元</w:t>
      </w:r>
      <w:r>
        <w:rPr>
          <w:rFonts w:hint="eastAsia" w:ascii="方正仿宋_GB2312" w:hAnsi="方正仿宋_GB2312" w:eastAsia="方正仿宋_GB2312" w:cs="方正仿宋_GB2312"/>
          <w:spacing w:val="-9"/>
          <w:sz w:val="28"/>
          <w:szCs w:val="28"/>
          <w:lang w:val="en-US" w:eastAsia="zh-CN"/>
        </w:rPr>
        <w:t xml:space="preserve"> </w:t>
      </w:r>
      <w:r>
        <w:rPr>
          <w:rFonts w:hint="eastAsia" w:ascii="方正仿宋_GB2312" w:hAnsi="方正仿宋_GB2312" w:eastAsia="方正仿宋_GB2312" w:cs="方正仿宋_GB2312"/>
          <w:spacing w:val="-9"/>
          <w:sz w:val="28"/>
          <w:szCs w:val="28"/>
        </w:rPr>
        <w:t>作为托管服务综合管理费。</w:t>
      </w:r>
    </w:p>
    <w:p w14:paraId="01482C3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2、托管服务综合管理费每年分</w:t>
      </w:r>
      <w:r>
        <w:rPr>
          <w:rFonts w:hint="eastAsia" w:ascii="方正仿宋_GB2312" w:hAnsi="方正仿宋_GB2312" w:eastAsia="方正仿宋_GB2312" w:cs="方正仿宋_GB2312"/>
          <w:spacing w:val="-9"/>
          <w:sz w:val="28"/>
          <w:szCs w:val="28"/>
          <w:lang w:eastAsia="zh-CN"/>
        </w:rPr>
        <w:t>两次</w:t>
      </w:r>
      <w:r>
        <w:rPr>
          <w:rFonts w:hint="eastAsia" w:ascii="方正仿宋_GB2312" w:hAnsi="方正仿宋_GB2312" w:eastAsia="方正仿宋_GB2312" w:cs="方正仿宋_GB2312"/>
          <w:spacing w:val="-9"/>
          <w:sz w:val="28"/>
          <w:szCs w:val="28"/>
        </w:rPr>
        <w:t>支付。每学期开学后</w:t>
      </w:r>
      <w:r>
        <w:rPr>
          <w:rFonts w:hint="eastAsia" w:ascii="方正仿宋_GB2312" w:hAnsi="方正仿宋_GB2312" w:eastAsia="方正仿宋_GB2312" w:cs="方正仿宋_GB2312"/>
          <w:spacing w:val="-9"/>
          <w:sz w:val="28"/>
          <w:szCs w:val="28"/>
          <w:lang w:eastAsia="zh-CN"/>
        </w:rPr>
        <w:t>两周内</w:t>
      </w:r>
      <w:r>
        <w:rPr>
          <w:rFonts w:hint="eastAsia" w:ascii="方正仿宋_GB2312" w:hAnsi="方正仿宋_GB2312" w:eastAsia="方正仿宋_GB2312" w:cs="方正仿宋_GB2312"/>
          <w:spacing w:val="-9"/>
          <w:sz w:val="28"/>
          <w:szCs w:val="28"/>
        </w:rPr>
        <w:t>，在乙方前期服务无违约的条件下，甲方支付总费用的50%。</w:t>
      </w:r>
    </w:p>
    <w:p w14:paraId="474D578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第五条  托管场地、用途</w:t>
      </w:r>
    </w:p>
    <w:p w14:paraId="7D41D75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lang w:eastAsia="zh-CN"/>
        </w:rPr>
      </w:pPr>
      <w:r>
        <w:rPr>
          <w:rFonts w:hint="eastAsia" w:ascii="方正仿宋_GB2312" w:hAnsi="方正仿宋_GB2312" w:eastAsia="方正仿宋_GB2312" w:cs="方正仿宋_GB2312"/>
          <w:spacing w:val="-9"/>
          <w:sz w:val="28"/>
          <w:szCs w:val="28"/>
        </w:rPr>
        <w:t>1、甲方在</w:t>
      </w:r>
      <w:r>
        <w:rPr>
          <w:rFonts w:hint="eastAsia" w:ascii="方正仿宋_GB2312" w:hAnsi="方正仿宋_GB2312" w:eastAsia="方正仿宋_GB2312" w:cs="方正仿宋_GB2312"/>
          <w:spacing w:val="-9"/>
          <w:sz w:val="28"/>
          <w:szCs w:val="28"/>
          <w:lang w:val="en-US" w:eastAsia="zh-CN"/>
        </w:rPr>
        <w:t>星梦馆一层</w:t>
      </w:r>
      <w:r>
        <w:rPr>
          <w:rFonts w:hint="eastAsia" w:ascii="方正仿宋_GB2312" w:hAnsi="方正仿宋_GB2312" w:eastAsia="方正仿宋_GB2312" w:cs="方正仿宋_GB2312"/>
          <w:spacing w:val="-9"/>
          <w:sz w:val="28"/>
          <w:szCs w:val="28"/>
        </w:rPr>
        <w:t>提供不少于300 平方米的房屋设立医务室</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包括医疗用房，值班用房),将校园医务室按双方拟定的科室功能、房间布局无偿提供给 乙方作为医疗服务场所</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以下简称“医务室”)。室内房间布局按医务室要求</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装饰装修由乙方负责</w:t>
      </w:r>
      <w:r>
        <w:rPr>
          <w:rFonts w:hint="eastAsia" w:ascii="方正仿宋_GB2312" w:hAnsi="方正仿宋_GB2312" w:eastAsia="方正仿宋_GB2312" w:cs="方正仿宋_GB2312"/>
          <w:spacing w:val="-9"/>
          <w:sz w:val="28"/>
          <w:szCs w:val="28"/>
          <w:lang w:eastAsia="zh-CN"/>
        </w:rPr>
        <w:t>。</w:t>
      </w:r>
    </w:p>
    <w:p w14:paraId="790413A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2、所有场地只能从事与校内医务保障相关的事情，乙方不得将医务室作为其它用途或者从事医务活</w:t>
      </w:r>
      <w:r>
        <w:rPr>
          <w:rFonts w:hint="eastAsia" w:ascii="方正仿宋_GB2312" w:hAnsi="方正仿宋_GB2312" w:eastAsia="方正仿宋_GB2312" w:cs="方正仿宋_GB2312"/>
          <w:spacing w:val="-9"/>
          <w:sz w:val="28"/>
          <w:szCs w:val="28"/>
          <w:lang w:eastAsia="zh-CN"/>
        </w:rPr>
        <w:t>动以</w:t>
      </w:r>
      <w:r>
        <w:rPr>
          <w:rFonts w:hint="eastAsia" w:ascii="方正仿宋_GB2312" w:hAnsi="方正仿宋_GB2312" w:eastAsia="方正仿宋_GB2312" w:cs="方正仿宋_GB2312"/>
          <w:spacing w:val="-9"/>
          <w:sz w:val="28"/>
          <w:szCs w:val="28"/>
        </w:rPr>
        <w:t>外的其他行为，不得以任何名义转借、转让、分包给第三方。</w:t>
      </w:r>
    </w:p>
    <w:p w14:paraId="38DBBF8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第六条  设备、设施投入和医疗许可证的办理</w:t>
      </w:r>
    </w:p>
    <w:p w14:paraId="4DF800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 、 甲方向乙方提供医务室所需的《医疗机构执业许可证》。合同期内，乙方应根据《医疗机构条例</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高等学校医疗保健机构工作流程》负责办理《医疗机构执业许可证》年审等相关手续，必要时甲方应给予协助出具相关证明资料。</w:t>
      </w:r>
    </w:p>
    <w:p w14:paraId="260EE2D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2、甲方负责医务室场所的基本装潢，安装空调、电话、电视、网络等生活设施。保证水电正常使用。</w:t>
      </w:r>
    </w:p>
    <w:p w14:paraId="471561C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 xml:space="preserve">3 、乙方根据高校医疗保健工作需要，配备符合国家有关技术标准的医疗设备 </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包括但不限于：血球计数仪、尿液分析仪、心电图机等检查设备)和其他基 本医疗、急救设施。保证常规诊断、治疗的正常开展。</w:t>
      </w:r>
    </w:p>
    <w:p w14:paraId="38A3B46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4、乙方投入的设施设备归乙方所有，合同期满后，乙方自行撤除投入的设备、设施。</w:t>
      </w:r>
    </w:p>
    <w:p w14:paraId="6D8A069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第七条 甲方的权利和义务</w:t>
      </w:r>
    </w:p>
    <w:p w14:paraId="6FD51A9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1、按照合同约定，及时提供符合要求的场地， 及时完成场所的基本装潢，及时提供必要办公、值班的设施设备，保证水电、网络等正常使用。</w:t>
      </w:r>
    </w:p>
    <w:p w14:paraId="3513650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2、向乙方提供医务室所需的《医疗机构执业许可证》,协助乙方办理年审等相关事项。</w:t>
      </w:r>
    </w:p>
    <w:p w14:paraId="3D11F7C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3、为乙方办理人员和车辆出入证、人员就餐饭卡等必要的手续。</w:t>
      </w:r>
    </w:p>
    <w:p w14:paraId="13DDC7C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4、协助解决乙方在诊疗期间与师生的争议和纠纷。</w:t>
      </w:r>
    </w:p>
    <w:p w14:paraId="7423B98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5、按照合同约定和相关法律法规政策规定制定医务室管理考核规定，并按规定对乙方进行全方位的监管。</w:t>
      </w:r>
    </w:p>
    <w:p w14:paraId="7C0827E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6、对乙方的医疗管理、医疗服务、医疗设备、药品质量、医疗收费等进行例行检查和日常考核，对违约违规行为进行追究。包括建议乙方任用领导和撤换不适合在校工作的医务人员。</w:t>
      </w:r>
    </w:p>
    <w:p w14:paraId="7CAF4C0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7、对乙方的服务进行师生满意度调查，根据调查结果提出整改意见。</w:t>
      </w:r>
    </w:p>
    <w:p w14:paraId="7A77DFD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第八条 乙方的权利和义务</w:t>
      </w:r>
    </w:p>
    <w:p w14:paraId="76230E8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1、按照合同约定足额配备符合资质的医务人员。医生、护士等员工资料、信息应提供给甲方备案。按照劳动合同法等相关规定规范用工，所有用工费用或 劳动合同争议与甲方无关。</w:t>
      </w:r>
    </w:p>
    <w:p w14:paraId="786AF74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2、按照合同约定和相关规定足额配备常规医疗设备和抢救设施</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产权归乙方所有)。确保配备的上述医疗设备符合国家相关卫生标准、质量标准。</w:t>
      </w:r>
    </w:p>
    <w:p w14:paraId="750F34B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3 、按照合同约定和国家对高等学校医疗保健的有关规定和卫生部门对医疗保健管理的相关要求，为甲方提供规范化的医疗卫生服务。主要负责常见病，多发病的诊断、治疗工作。开展常规治疗，对不能救治的急、重症病人应及时转诊，并通知甲方管理部门。</w:t>
      </w:r>
    </w:p>
    <w:p w14:paraId="0A29436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4、建立健全</w:t>
      </w:r>
      <w:r>
        <w:rPr>
          <w:rFonts w:hint="eastAsia" w:ascii="方正仿宋_GB2312" w:hAnsi="方正仿宋_GB2312" w:eastAsia="方正仿宋_GB2312" w:cs="方正仿宋_GB2312"/>
          <w:spacing w:val="-9"/>
          <w:sz w:val="28"/>
          <w:szCs w:val="28"/>
          <w:lang w:eastAsia="zh-CN"/>
        </w:rPr>
        <w:t>传染病</w:t>
      </w:r>
      <w:r>
        <w:rPr>
          <w:rFonts w:hint="eastAsia" w:ascii="方正仿宋_GB2312" w:hAnsi="方正仿宋_GB2312" w:eastAsia="方正仿宋_GB2312" w:cs="方正仿宋_GB2312"/>
          <w:spacing w:val="-9"/>
          <w:sz w:val="28"/>
          <w:szCs w:val="28"/>
        </w:rPr>
        <w:t>防控机制和突发公共卫生事件应急预案及时向学校通报传染病信息。负责学校传染病的初级预防、报告工作。适时开展相关疫苗接种。</w:t>
      </w:r>
    </w:p>
    <w:p w14:paraId="756087C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5、协助甲方做好饮食卫生、教学卫生、 环境卫生等工作实施业务指导和监督。</w:t>
      </w:r>
    </w:p>
    <w:p w14:paraId="0BC1983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6、乙方保证校医务室所售药品质量符合国家标准，免收挂号费，所售药品执行国家医保价格，诊疗费按国家规定收取。对常用药品和检查项目明码标价，挂墙公示，不得在医务室销售禁用药品、伪劣药品以及与医疗无关的产品。</w:t>
      </w:r>
    </w:p>
    <w:p w14:paraId="6FCEA69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7、负责每月出一期健康专栏，指导师生自我保健。积极为师生提供健康保健及心理卫生咨询、健康教育等良好的医疗保健措施。</w:t>
      </w:r>
    </w:p>
    <w:p w14:paraId="3E9E832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8 、医务室以乙方为独立责任人，不得以甲方名义与第三方签订任何合同</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协议)。乙方应对医疗服务技术负责，自主经营与管理，自负盈亏。</w:t>
      </w:r>
    </w:p>
    <w:p w14:paraId="02BBF10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9、乙方不得以任何理由转包他人，并自觉遵守甲方的有关规定，接受甲方监管。</w:t>
      </w:r>
    </w:p>
    <w:p w14:paraId="6A1757D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10、乙方应积极接受国家药检、卫生、物价等有关职能部门的监督指导。</w:t>
      </w:r>
    </w:p>
    <w:p w14:paraId="46170FE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11、双方共同建立师生对医务室医疗水平、服务、 环境、收费等项目的满意度调查体系，乙方应根据师生意见和建议不断改进工作，同时将满意度纳入绩效考核方案。</w:t>
      </w:r>
    </w:p>
    <w:p w14:paraId="76BD224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12、乙方应建立完整的医务室诊疗登记档案，所产生的记录、资料、数据属双  方所有，乙方应归档保管，乙方不得拒绝甲方管理人员对其查询、检查和影印。</w:t>
      </w:r>
    </w:p>
    <w:p w14:paraId="6424FA4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13、乙方应按卫生部门相关规范，负责对医疗垃圾、 医疗废弃物的收集与处理 工作。</w:t>
      </w:r>
    </w:p>
    <w:p w14:paraId="672C8F0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第九条 合同解除、终止和责任追究</w:t>
      </w:r>
    </w:p>
    <w:p w14:paraId="48C2753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1、合同期满，双方无意向合作， 合同自然终止。</w:t>
      </w:r>
    </w:p>
    <w:p w14:paraId="489289D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2、因以下原因而终止合同，甲、乙双方应承担自己的损失，责任与对方无涉。 托管服务综合管理费按照实际服务时间计算，不足整月的按月计算。</w:t>
      </w:r>
    </w:p>
    <w:p w14:paraId="724F50C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①因不可抗力原因致使本合同不能继续履行或造成的损失。</w:t>
      </w:r>
    </w:p>
    <w:p w14:paraId="6BE6FA6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②因国家政策需要改造或拆除房屋，使甲、乙双方造成损失。</w:t>
      </w:r>
    </w:p>
    <w:p w14:paraId="3B484AF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3、甲方有以下情形之一的，乙方有权解除合同，甲方应赔偿乙方相应经济损失。</w:t>
      </w:r>
    </w:p>
    <w:p w14:paraId="5E61B3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①甲方因房屋权属瑕疵导致乙方无法开展正常工作与经营时。</w:t>
      </w:r>
    </w:p>
    <w:p w14:paraId="3E68127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②因不可归责于乙方的原因致使房屋主体部分或全部毁损，严重影响使用的，甲方未尽房屋修缮义务。</w:t>
      </w:r>
    </w:p>
    <w:p w14:paraId="33E9F4C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③有第三人对租赁房屋主张权利，影响乙方房屋使用、经济收益的。</w:t>
      </w:r>
    </w:p>
    <w:p w14:paraId="58170CC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④甲方未按合同要求提供的水、电</w:t>
      </w:r>
      <w:r>
        <w:rPr>
          <w:rFonts w:hint="eastAsia" w:ascii="方正仿宋_GB2312" w:hAnsi="方正仿宋_GB2312" w:eastAsia="方正仿宋_GB2312" w:cs="方正仿宋_GB2312"/>
          <w:spacing w:val="-9"/>
          <w:sz w:val="28"/>
          <w:szCs w:val="28"/>
          <w:lang w:eastAsia="zh-CN"/>
        </w:rPr>
        <w:t>、电</w:t>
      </w:r>
      <w:r>
        <w:rPr>
          <w:rFonts w:hint="eastAsia" w:ascii="方正仿宋_GB2312" w:hAnsi="方正仿宋_GB2312" w:eastAsia="方正仿宋_GB2312" w:cs="方正仿宋_GB2312"/>
          <w:spacing w:val="-9"/>
          <w:sz w:val="28"/>
          <w:szCs w:val="28"/>
        </w:rPr>
        <w:t>话、网络等基础设施，使乙方无法进行医疗活动。</w:t>
      </w:r>
    </w:p>
    <w:p w14:paraId="12258AA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4、乙方有下列行为之一的，甲方有权解除合同，收回医务室， 乙方应赔偿甲 方相应经济损失。</w:t>
      </w:r>
    </w:p>
    <w:p w14:paraId="026C953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①未经甲方书面同意，转租</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包括部分出租)、转借承租房屋。</w:t>
      </w:r>
    </w:p>
    <w:p w14:paraId="5F23C9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②未经甲方书面同意，改变房屋用途</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包括超出经营项目范围)和结构。</w:t>
      </w:r>
    </w:p>
    <w:p w14:paraId="526259F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③利用承租房屋存放危险物品或进行违法活动。</w:t>
      </w:r>
    </w:p>
    <w:p w14:paraId="77DFA9F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④造成医疗事故。</w:t>
      </w:r>
    </w:p>
    <w:p w14:paraId="4A814C0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⑤未按合同相关要求，经甲方多次要求整改，而未达到预期效果。</w:t>
      </w:r>
    </w:p>
    <w:p w14:paraId="248E76A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⑥以甲方名义与第三方签订经济、劳动以及各种社会活动合同</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协议)。</w:t>
      </w:r>
    </w:p>
    <w:p w14:paraId="45F14BA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⑦由于乙方过失，对甲方造成经济损失或负面影响。</w:t>
      </w:r>
    </w:p>
    <w:p w14:paraId="04C78E9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5、合同履行期内，甲、乙任何一方如因</w:t>
      </w:r>
      <w:r>
        <w:rPr>
          <w:rFonts w:hint="eastAsia" w:ascii="方正仿宋_GB2312" w:hAnsi="方正仿宋_GB2312" w:eastAsia="方正仿宋_GB2312" w:cs="方正仿宋_GB2312"/>
          <w:spacing w:val="-9"/>
          <w:sz w:val="28"/>
          <w:szCs w:val="28"/>
          <w:lang w:eastAsia="zh-CN"/>
        </w:rPr>
        <w:t>其他</w:t>
      </w:r>
      <w:r>
        <w:rPr>
          <w:rFonts w:hint="eastAsia" w:ascii="方正仿宋_GB2312" w:hAnsi="方正仿宋_GB2312" w:eastAsia="方正仿宋_GB2312" w:cs="方正仿宋_GB2312"/>
          <w:spacing w:val="-9"/>
          <w:sz w:val="28"/>
          <w:szCs w:val="28"/>
        </w:rPr>
        <w:t>原因需提前解除合同，须提前60 天书面向对方申请，得到对方同意后可以解除合同。</w:t>
      </w:r>
    </w:p>
    <w:p w14:paraId="25CDDD8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6、由于乙方管理不善、员工失职而造成的医疗纠纷、 医疗事故，由乙方承担 全部责任，与甲方无涉。</w:t>
      </w:r>
    </w:p>
    <w:p w14:paraId="67FA3DF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7、由于乙方以及所聘员工原因对甲方造成负面影响的，乙方应承担法律责任或赔偿由此而造成的经济损失。</w:t>
      </w:r>
    </w:p>
    <w:p w14:paraId="0A80A2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8、甲方应按</w:t>
      </w:r>
      <w:r>
        <w:rPr>
          <w:rFonts w:hint="eastAsia" w:ascii="方正仿宋_GB2312" w:hAnsi="方正仿宋_GB2312" w:eastAsia="方正仿宋_GB2312" w:cs="方正仿宋_GB2312"/>
          <w:spacing w:val="-9"/>
          <w:sz w:val="28"/>
          <w:szCs w:val="28"/>
          <w:lang w:eastAsia="zh-CN"/>
        </w:rPr>
        <w:t>时支付</w:t>
      </w:r>
      <w:r>
        <w:rPr>
          <w:rFonts w:hint="eastAsia" w:ascii="方正仿宋_GB2312" w:hAnsi="方正仿宋_GB2312" w:eastAsia="方正仿宋_GB2312" w:cs="方正仿宋_GB2312"/>
          <w:spacing w:val="-9"/>
          <w:sz w:val="28"/>
          <w:szCs w:val="28"/>
        </w:rPr>
        <w:t>乙方服务费用，每拖延一个月，增加总费用的1%作为违约金。</w:t>
      </w:r>
    </w:p>
    <w:p w14:paraId="5B5EA0D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9、乙方服务未</w:t>
      </w:r>
      <w:r>
        <w:rPr>
          <w:rFonts w:hint="eastAsia" w:ascii="方正仿宋_GB2312" w:hAnsi="方正仿宋_GB2312" w:eastAsia="方正仿宋_GB2312" w:cs="方正仿宋_GB2312"/>
          <w:spacing w:val="-9"/>
          <w:sz w:val="28"/>
          <w:szCs w:val="28"/>
          <w:lang w:eastAsia="zh-CN"/>
        </w:rPr>
        <w:t>达到</w:t>
      </w:r>
      <w:r>
        <w:rPr>
          <w:rFonts w:hint="eastAsia" w:ascii="方正仿宋_GB2312" w:hAnsi="方正仿宋_GB2312" w:eastAsia="方正仿宋_GB2312" w:cs="方正仿宋_GB2312"/>
          <w:spacing w:val="-9"/>
          <w:sz w:val="28"/>
          <w:szCs w:val="28"/>
        </w:rPr>
        <w:t>协议要求，未按甲方要求整改到位的，每次追究服务总费用 1% 的违约金。</w:t>
      </w:r>
    </w:p>
    <w:p w14:paraId="318011C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第十条 补充材料、合同附件的效力：</w:t>
      </w:r>
    </w:p>
    <w:p w14:paraId="432CBF1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本合同未尽事宜，经双方协商，</w:t>
      </w:r>
      <w:r>
        <w:rPr>
          <w:rFonts w:hint="eastAsia" w:ascii="方正仿宋_GB2312" w:hAnsi="方正仿宋_GB2312" w:eastAsia="方正仿宋_GB2312" w:cs="方正仿宋_GB2312"/>
          <w:spacing w:val="-9"/>
          <w:sz w:val="28"/>
          <w:szCs w:val="28"/>
          <w:lang w:eastAsia="zh-CN"/>
        </w:rPr>
        <w:t>作出</w:t>
      </w:r>
      <w:r>
        <w:rPr>
          <w:rFonts w:hint="eastAsia" w:ascii="方正仿宋_GB2312" w:hAnsi="方正仿宋_GB2312" w:eastAsia="方正仿宋_GB2312" w:cs="方正仿宋_GB2312"/>
          <w:spacing w:val="-9"/>
          <w:sz w:val="28"/>
          <w:szCs w:val="28"/>
        </w:rPr>
        <w:t>补充规定；合同附件作为合同的有效组成部分。</w:t>
      </w:r>
    </w:p>
    <w:p w14:paraId="25E6F74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与合同有关的补充规定和合同附件与本合同有同等法律效力。</w:t>
      </w:r>
    </w:p>
    <w:p w14:paraId="1DB7066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第十一条 合同纠纷的调解：</w:t>
      </w:r>
    </w:p>
    <w:p w14:paraId="6917D7D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本合同如发生纠纷，甲乙双方应友好协商，协商不成由争议方向签约地人民法院起诉。</w:t>
      </w:r>
    </w:p>
    <w:p w14:paraId="174D0B4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第十二条合同生效：</w:t>
      </w:r>
    </w:p>
    <w:p w14:paraId="33EE060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本合同一式八份，双方各执四份，经双方签字盖章之日起生效，合约期满自然终止。乙方负责向医疗主管部门报备合同。</w:t>
      </w:r>
    </w:p>
    <w:p w14:paraId="4B8C596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p>
    <w:p w14:paraId="7754BA1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p>
    <w:p w14:paraId="0575926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p>
    <w:p w14:paraId="1D88153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甲方：</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 xml:space="preserve"> 盖章)</w:t>
      </w:r>
    </w:p>
    <w:p w14:paraId="6DA6222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法定代表人：</w:t>
      </w:r>
    </w:p>
    <w:p w14:paraId="5E1E7A4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委托代理人：</w:t>
      </w:r>
    </w:p>
    <w:p w14:paraId="080ED45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 xml:space="preserve">地址：     </w:t>
      </w:r>
    </w:p>
    <w:p w14:paraId="3359765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联系电话：</w:t>
      </w:r>
    </w:p>
    <w:p w14:paraId="74A9039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p>
    <w:p w14:paraId="0236FCC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p>
    <w:p w14:paraId="3766C96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p>
    <w:p w14:paraId="06AE30A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乙方：</w:t>
      </w:r>
      <w:r>
        <w:rPr>
          <w:rFonts w:hint="eastAsia" w:ascii="方正仿宋_GB2312" w:hAnsi="方正仿宋_GB2312" w:eastAsia="方正仿宋_GB2312" w:cs="方正仿宋_GB2312"/>
          <w:spacing w:val="-9"/>
          <w:sz w:val="28"/>
          <w:szCs w:val="28"/>
          <w:lang w:eastAsia="zh-CN"/>
        </w:rPr>
        <w:t>（</w:t>
      </w:r>
      <w:r>
        <w:rPr>
          <w:rFonts w:hint="eastAsia" w:ascii="方正仿宋_GB2312" w:hAnsi="方正仿宋_GB2312" w:eastAsia="方正仿宋_GB2312" w:cs="方正仿宋_GB2312"/>
          <w:spacing w:val="-9"/>
          <w:sz w:val="28"/>
          <w:szCs w:val="28"/>
        </w:rPr>
        <w:t>盖章)</w:t>
      </w:r>
    </w:p>
    <w:p w14:paraId="7DD87FE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法定代表人：</w:t>
      </w:r>
    </w:p>
    <w:p w14:paraId="61C8B1A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委托代理人：</w:t>
      </w:r>
    </w:p>
    <w:p w14:paraId="4E6DA8D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p>
    <w:p w14:paraId="16DF3B2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地址：</w:t>
      </w:r>
    </w:p>
    <w:p w14:paraId="22CACF92">
      <w:pPr>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t>联系电话：</w:t>
      </w:r>
    </w:p>
    <w:p w14:paraId="5A62C808">
      <w:pPr>
        <w:rPr>
          <w:rFonts w:hint="eastAsia" w:ascii="方正仿宋_GB2312" w:hAnsi="方正仿宋_GB2312" w:eastAsia="方正仿宋_GB2312" w:cs="方正仿宋_GB2312"/>
          <w:spacing w:val="-9"/>
          <w:sz w:val="28"/>
          <w:szCs w:val="28"/>
        </w:rPr>
      </w:pPr>
      <w:r>
        <w:rPr>
          <w:rFonts w:hint="eastAsia" w:ascii="方正仿宋_GB2312" w:hAnsi="方正仿宋_GB2312" w:eastAsia="方正仿宋_GB2312" w:cs="方正仿宋_GB2312"/>
          <w:spacing w:val="-9"/>
          <w:sz w:val="28"/>
          <w:szCs w:val="28"/>
        </w:rPr>
        <w:br w:type="page"/>
      </w:r>
    </w:p>
    <w:p w14:paraId="038EF1B4">
      <w:pPr>
        <w:keepNext/>
        <w:keepLines/>
        <w:numPr>
          <w:ilvl w:val="0"/>
          <w:numId w:val="2"/>
        </w:numPr>
        <w:spacing w:line="360" w:lineRule="auto"/>
        <w:jc w:val="center"/>
        <w:rPr>
          <w:rFonts w:ascii="黑体" w:hAnsi="黑体" w:eastAsia="黑体" w:cs="黑体"/>
          <w:color w:val="000000" w:themeColor="text1"/>
          <w:kern w:val="44"/>
          <w:sz w:val="36"/>
          <w:szCs w:val="36"/>
          <w:u w:color="000000"/>
          <w:lang w:val="zh-TW" w:eastAsia="zh-TW"/>
          <w14:textFill>
            <w14:solidFill>
              <w14:schemeClr w14:val="tx1"/>
            </w14:solidFill>
          </w14:textFill>
        </w:rPr>
      </w:pPr>
      <w:r>
        <w:rPr>
          <w:rFonts w:ascii="黑体" w:hAnsi="黑体" w:eastAsia="黑体" w:cs="黑体"/>
          <w:color w:val="000000" w:themeColor="text1"/>
          <w:kern w:val="44"/>
          <w:sz w:val="36"/>
          <w:szCs w:val="36"/>
          <w:u w:color="000000"/>
          <w:lang w:val="zh-TW" w:eastAsia="zh-TW"/>
          <w14:textFill>
            <w14:solidFill>
              <w14:schemeClr w14:val="tx1"/>
            </w14:solidFill>
          </w14:textFill>
        </w:rPr>
        <w:t>项目需求</w:t>
      </w:r>
      <w:bookmarkEnd w:id="47"/>
      <w:bookmarkStart w:id="48" w:name="_Toc11859489"/>
    </w:p>
    <w:p w14:paraId="37174871">
      <w:pPr>
        <w:pStyle w:val="61"/>
        <w:numPr>
          <w:ilvl w:val="255"/>
          <w:numId w:val="0"/>
        </w:numPr>
        <w:spacing w:before="0" w:after="0" w:line="360" w:lineRule="exact"/>
        <w:jc w:val="both"/>
        <w:rPr>
          <w:rFonts w:hint="default" w:ascii="宋体" w:hAnsi="宋体" w:eastAsia="宋体" w:cs="宋体"/>
          <w:color w:val="auto"/>
          <w:sz w:val="24"/>
          <w:szCs w:val="24"/>
          <w:lang w:eastAsia="zh-CN"/>
        </w:rPr>
      </w:pPr>
    </w:p>
    <w:p w14:paraId="09216136">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ascii="宋体" w:hAnsi="宋体" w:eastAsia="宋体"/>
          <w:b/>
          <w:bCs/>
          <w:color w:val="000000"/>
          <w:sz w:val="24"/>
          <w:szCs w:val="24"/>
        </w:rPr>
      </w:pPr>
      <w:r>
        <w:rPr>
          <w:rFonts w:hint="eastAsia" w:ascii="宋体" w:hAnsi="宋体" w:eastAsia="宋体"/>
          <w:b/>
          <w:bCs/>
          <w:color w:val="000000"/>
          <w:sz w:val="24"/>
          <w:szCs w:val="24"/>
        </w:rPr>
        <w:t>一、项目概况</w:t>
      </w:r>
    </w:p>
    <w:p w14:paraId="3D424BF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（一）项目名称：南京机电职业技术学院医务室第三方托管服务</w:t>
      </w:r>
    </w:p>
    <w:p w14:paraId="1A3AB80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szCs w:val="24"/>
        </w:rPr>
      </w:pPr>
      <w:r>
        <w:rPr>
          <w:rFonts w:hint="eastAsia" w:ascii="宋体" w:hAnsi="宋体" w:eastAsia="宋体"/>
          <w:color w:val="000000"/>
          <w:sz w:val="24"/>
          <w:szCs w:val="24"/>
        </w:rPr>
        <w:t>（二）服务期限：202</w:t>
      </w:r>
      <w:r>
        <w:rPr>
          <w:rFonts w:hint="eastAsia" w:ascii="宋体" w:hAnsi="宋体" w:eastAsia="宋体"/>
          <w:color w:val="000000"/>
          <w:sz w:val="24"/>
          <w:szCs w:val="24"/>
          <w:lang w:val="en-US" w:eastAsia="zh-CN"/>
        </w:rPr>
        <w:t>6</w:t>
      </w:r>
      <w:r>
        <w:rPr>
          <w:rFonts w:hint="eastAsia" w:ascii="宋体" w:hAnsi="宋体" w:eastAsia="宋体"/>
          <w:color w:val="000000"/>
          <w:sz w:val="24"/>
          <w:szCs w:val="24"/>
        </w:rPr>
        <w:t>年</w:t>
      </w:r>
      <w:r>
        <w:rPr>
          <w:rFonts w:hint="eastAsia" w:ascii="宋体" w:hAnsi="宋体" w:eastAsia="宋体"/>
          <w:color w:val="000000"/>
          <w:sz w:val="24"/>
          <w:szCs w:val="24"/>
          <w:lang w:val="en-US" w:eastAsia="zh-CN"/>
        </w:rPr>
        <w:t>7</w:t>
      </w:r>
      <w:r>
        <w:rPr>
          <w:rFonts w:hint="eastAsia" w:ascii="宋体" w:hAnsi="宋体" w:eastAsia="宋体"/>
          <w:color w:val="000000"/>
          <w:sz w:val="24"/>
          <w:szCs w:val="24"/>
        </w:rPr>
        <w:t>月10日—</w:t>
      </w:r>
      <w:r>
        <w:rPr>
          <w:rFonts w:hint="eastAsia" w:ascii="宋体" w:hAnsi="宋体" w:eastAsia="宋体"/>
          <w:color w:val="000000"/>
          <w:sz w:val="24"/>
          <w:szCs w:val="24"/>
          <w:lang w:eastAsia="zh-CN"/>
        </w:rPr>
        <w:t>2029年7月9日</w:t>
      </w:r>
    </w:p>
    <w:p w14:paraId="5C326871">
      <w:pPr>
        <w:pStyle w:val="14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b w:val="0"/>
          <w:bCs w:val="0"/>
          <w:color w:val="000000"/>
          <w:sz w:val="24"/>
          <w:szCs w:val="24"/>
          <w:highlight w:val="none"/>
        </w:rPr>
      </w:pPr>
      <w:r>
        <w:rPr>
          <w:rFonts w:hint="eastAsia" w:ascii="宋体" w:hAnsi="宋体" w:eastAsia="宋体"/>
          <w:b w:val="0"/>
          <w:bCs w:val="0"/>
          <w:color w:val="000000"/>
          <w:sz w:val="24"/>
          <w:szCs w:val="24"/>
          <w:highlight w:val="none"/>
          <w:lang w:eastAsia="zh-CN"/>
        </w:rPr>
        <w:t>（</w:t>
      </w:r>
      <w:r>
        <w:rPr>
          <w:rFonts w:hint="eastAsia" w:ascii="宋体" w:hAnsi="宋体" w:eastAsia="宋体"/>
          <w:b w:val="0"/>
          <w:bCs w:val="0"/>
          <w:color w:val="000000"/>
          <w:sz w:val="24"/>
          <w:szCs w:val="24"/>
          <w:highlight w:val="none"/>
          <w:lang w:val="en-US" w:eastAsia="zh-CN"/>
        </w:rPr>
        <w:t>三</w:t>
      </w:r>
      <w:r>
        <w:rPr>
          <w:rFonts w:hint="eastAsia" w:ascii="宋体" w:hAnsi="宋体" w:eastAsia="宋体"/>
          <w:b w:val="0"/>
          <w:bCs w:val="0"/>
          <w:color w:val="000000"/>
          <w:sz w:val="24"/>
          <w:szCs w:val="24"/>
          <w:highlight w:val="none"/>
          <w:lang w:eastAsia="zh-CN"/>
        </w:rPr>
        <w:t>）</w:t>
      </w:r>
      <w:r>
        <w:rPr>
          <w:rFonts w:hint="eastAsia" w:ascii="宋体" w:hAnsi="宋体" w:eastAsia="宋体"/>
          <w:b w:val="0"/>
          <w:bCs w:val="0"/>
          <w:color w:val="000000"/>
          <w:sz w:val="24"/>
          <w:szCs w:val="24"/>
          <w:highlight w:val="none"/>
        </w:rPr>
        <w:t>项目</w:t>
      </w:r>
      <w:r>
        <w:rPr>
          <w:rFonts w:hint="eastAsia" w:ascii="宋体" w:hAnsi="宋体" w:eastAsia="宋体"/>
          <w:b w:val="0"/>
          <w:bCs w:val="0"/>
          <w:color w:val="000000"/>
          <w:sz w:val="24"/>
          <w:szCs w:val="24"/>
          <w:highlight w:val="none"/>
          <w:lang w:val="en-US" w:eastAsia="zh-CN"/>
        </w:rPr>
        <w:t>预算：50万元/年</w:t>
      </w:r>
    </w:p>
    <w:p w14:paraId="381BEAD1">
      <w:pPr>
        <w:pStyle w:val="14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b/>
          <w:bCs/>
          <w:color w:val="000000"/>
          <w:sz w:val="24"/>
          <w:szCs w:val="24"/>
          <w:lang w:val="en-US" w:eastAsia="zh-CN"/>
        </w:rPr>
      </w:pPr>
      <w:r>
        <w:rPr>
          <w:rFonts w:hint="eastAsia" w:ascii="宋体" w:hAnsi="宋体" w:eastAsia="宋体"/>
          <w:b/>
          <w:bCs/>
          <w:color w:val="000000"/>
          <w:sz w:val="24"/>
          <w:szCs w:val="24"/>
          <w:lang w:val="en-US" w:eastAsia="zh-CN"/>
        </w:rPr>
        <w:t>二、投标人的医疗资格要求：</w:t>
      </w:r>
    </w:p>
    <w:p w14:paraId="4EE6C806">
      <w:pPr>
        <w:pStyle w:val="14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olor w:val="000000"/>
          <w:sz w:val="24"/>
          <w:szCs w:val="24"/>
          <w:lang w:val="en-US" w:eastAsia="zh-CN"/>
        </w:rPr>
      </w:pPr>
      <w:r>
        <w:rPr>
          <w:rFonts w:hint="eastAsia" w:ascii="宋体" w:hAnsi="宋体" w:eastAsia="宋体"/>
          <w:color w:val="000000"/>
          <w:sz w:val="24"/>
          <w:szCs w:val="24"/>
        </w:rPr>
        <w:t>（一）</w:t>
      </w:r>
      <w:r>
        <w:rPr>
          <w:rFonts w:hint="eastAsia" w:ascii="宋体" w:hAnsi="宋体" w:eastAsia="宋体"/>
          <w:color w:val="000000"/>
          <w:sz w:val="24"/>
          <w:szCs w:val="24"/>
          <w:lang w:val="en-US" w:eastAsia="zh-CN"/>
        </w:rPr>
        <w:t>具有有效的医疗机构执业许可证：</w:t>
      </w:r>
    </w:p>
    <w:p w14:paraId="4301C1AB">
      <w:pPr>
        <w:pStyle w:val="145"/>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szCs w:val="24"/>
          <w:lang w:val="en-US" w:eastAsia="zh-CN"/>
        </w:rPr>
      </w:pPr>
      <w:r>
        <w:rPr>
          <w:rFonts w:hint="eastAsia" w:ascii="宋体" w:hAnsi="宋体" w:eastAsia="宋体"/>
          <w:color w:val="000000"/>
          <w:sz w:val="24"/>
          <w:szCs w:val="24"/>
        </w:rPr>
        <w:t>（二）</w:t>
      </w:r>
      <w:r>
        <w:rPr>
          <w:rFonts w:hint="eastAsia" w:ascii="宋体" w:hAnsi="宋体" w:eastAsia="宋体"/>
          <w:color w:val="auto"/>
          <w:sz w:val="24"/>
          <w:szCs w:val="24"/>
          <w:lang w:val="en-US" w:eastAsia="zh-CN"/>
        </w:rPr>
        <w:t>具有公立一级医院及以上资格（提供营业执照及一级医院证明)</w:t>
      </w:r>
    </w:p>
    <w:p w14:paraId="23C2D573">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ascii="宋体" w:hAnsi="宋体" w:eastAsia="宋体"/>
          <w:b/>
          <w:bCs/>
          <w:color w:val="000000"/>
          <w:sz w:val="24"/>
          <w:szCs w:val="24"/>
        </w:rPr>
      </w:pPr>
      <w:r>
        <w:rPr>
          <w:rFonts w:hint="eastAsia" w:ascii="宋体" w:hAnsi="宋体" w:eastAsia="宋体"/>
          <w:b/>
          <w:bCs/>
          <w:color w:val="000000"/>
          <w:sz w:val="24"/>
          <w:szCs w:val="24"/>
          <w:lang w:val="en-US" w:eastAsia="zh-CN"/>
        </w:rPr>
        <w:t>三</w:t>
      </w:r>
      <w:r>
        <w:rPr>
          <w:rFonts w:hint="eastAsia" w:ascii="宋体" w:hAnsi="宋体" w:eastAsia="宋体"/>
          <w:b/>
          <w:bCs/>
          <w:color w:val="000000"/>
          <w:sz w:val="24"/>
          <w:szCs w:val="24"/>
        </w:rPr>
        <w:t>、服务项目需求</w:t>
      </w:r>
    </w:p>
    <w:p w14:paraId="2FF4B4A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（一）南京机电职业技术学院医务室设立在高淳校区，提供医疗机构执业许可证、办公需要的医疗用房、基本办公设备。</w:t>
      </w:r>
    </w:p>
    <w:p w14:paraId="1539FD0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（二）医疗卫生服务工作必须按照国家对高等学校医疗保健的有关规定和卫生部门对医疗保健管理的相关要求，遵守相关的法律法规，为学校提供规范化的医疗卫生服务。</w:t>
      </w:r>
    </w:p>
    <w:p w14:paraId="7E4D2E0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（三）安排在学校医务室工作的医务人员必须具有相应执业资格，安排的医务人员的工资报酬及劳保、保险等一切福利待遇，由中标方负责承担。</w:t>
      </w:r>
    </w:p>
    <w:p w14:paraId="03FF10E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（四）根据高校医疗保健工作需要，按国家有关规定给医务室配备常规医疗设备和抢救设施</w:t>
      </w:r>
      <w:r>
        <w:rPr>
          <w:rFonts w:hint="eastAsia" w:ascii="宋体" w:hAnsi="宋体" w:eastAsia="宋体"/>
          <w:color w:val="000000"/>
          <w:sz w:val="24"/>
          <w:szCs w:val="24"/>
          <w:lang w:eastAsia="zh-CN"/>
        </w:rPr>
        <w:t>（</w:t>
      </w:r>
      <w:r>
        <w:rPr>
          <w:rFonts w:hint="eastAsia" w:ascii="宋体" w:hAnsi="宋体" w:eastAsia="宋体"/>
          <w:color w:val="000000"/>
          <w:sz w:val="24"/>
          <w:szCs w:val="24"/>
        </w:rPr>
        <w:t>所有权归中标方所有)。中标方必须确保配备的上述医疗设备符合国家相关卫生标准、质量标准。</w:t>
      </w:r>
    </w:p>
    <w:p w14:paraId="6654852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五）提供全年24小时医疗服务，保证白天有3名医务人员在岗（至少1名执业医师），晚上有2名医务人员在岗（至少1名执业医师），并根据学校教学作息时间具体安排服务时间。工作期间，医务人员不得擅自离岗。</w:t>
      </w:r>
    </w:p>
    <w:p w14:paraId="6B4EB22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六）保证医务室（医保定点窗口）售药品质量符合国家标准，药品价格按要求实行零差价，免收挂号费。诊疗费按国家规定收取，各项医疗收费、药品价格及管理制度明示上墙。认真执行国家各种卫生法规，并自觉遵守</w:t>
      </w:r>
      <w:r>
        <w:rPr>
          <w:rFonts w:hint="eastAsia" w:ascii="宋体" w:hAnsi="宋体" w:eastAsia="宋体"/>
          <w:color w:val="000000"/>
          <w:sz w:val="24"/>
          <w:szCs w:val="24"/>
          <w:lang w:eastAsia="zh-CN"/>
        </w:rPr>
        <w:t>招标人</w:t>
      </w:r>
      <w:r>
        <w:rPr>
          <w:rFonts w:hint="eastAsia" w:ascii="宋体" w:hAnsi="宋体" w:eastAsia="宋体"/>
          <w:color w:val="000000"/>
          <w:sz w:val="24"/>
          <w:szCs w:val="24"/>
        </w:rPr>
        <w:t>各项规章制度。</w:t>
      </w:r>
    </w:p>
    <w:p w14:paraId="6B88481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（七）在服务期内，不得以任何理由将本校的医疗卫生服务内容向第三方机构或个人进行转包或分包。</w:t>
      </w:r>
    </w:p>
    <w:p w14:paraId="43C1895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（八）主要负责常见病，多发病的诊断、治疗工作。开展常规治疗，对不能救治的急、重症病人应及时转诊，并通知</w:t>
      </w:r>
      <w:r>
        <w:rPr>
          <w:rFonts w:hint="eastAsia" w:ascii="宋体" w:hAnsi="宋体" w:eastAsia="宋体"/>
          <w:color w:val="000000"/>
          <w:sz w:val="24"/>
          <w:szCs w:val="24"/>
          <w:lang w:eastAsia="zh-CN"/>
        </w:rPr>
        <w:t>招标人</w:t>
      </w:r>
      <w:r>
        <w:rPr>
          <w:rFonts w:hint="eastAsia" w:ascii="宋体" w:hAnsi="宋体" w:eastAsia="宋体"/>
          <w:color w:val="000000"/>
          <w:sz w:val="24"/>
          <w:szCs w:val="24"/>
        </w:rPr>
        <w:t>管理部门。负责大病就医绿色通道的建立，危急重病人由医护人员陪同就诊，先行治疗，确保安全第一。在医疗服务过程中发生的医疗纠纷、医疗事故等责任，由中标方完全承担法律和赔偿责任。</w:t>
      </w:r>
    </w:p>
    <w:p w14:paraId="66E531F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（九）建立健全</w:t>
      </w:r>
      <w:r>
        <w:rPr>
          <w:rFonts w:hint="eastAsia" w:ascii="宋体" w:hAnsi="宋体" w:eastAsia="宋体"/>
          <w:color w:val="000000"/>
          <w:sz w:val="24"/>
          <w:szCs w:val="24"/>
          <w:lang w:eastAsia="zh-CN"/>
        </w:rPr>
        <w:t>传染病</w:t>
      </w:r>
      <w:r>
        <w:rPr>
          <w:rFonts w:hint="eastAsia" w:ascii="宋体" w:hAnsi="宋体" w:eastAsia="宋体"/>
          <w:color w:val="000000"/>
          <w:sz w:val="24"/>
          <w:szCs w:val="24"/>
        </w:rPr>
        <w:t>防控机制和突发公共卫生事件应急预案及时向学校通报传染病信息。负责学校传染病的初级预防、报告工作。适时开展相关疫苗接种。协助校方做好饮食卫生、教学卫生、环境卫生等工作实施业务指导和监督。积极为师生提供健康保健及心理卫生咨询、健康教育等良好的医疗保健措施。</w:t>
      </w:r>
    </w:p>
    <w:p w14:paraId="3712866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（十）医务人员免费使用水电，必须严格遵守《南京机电职业技术学院水电管理办法》的规定，严禁使用大功率电器，</w:t>
      </w:r>
      <w:r>
        <w:rPr>
          <w:rFonts w:hint="eastAsia" w:ascii="宋体" w:hAnsi="宋体" w:eastAsia="宋体"/>
          <w:color w:val="000000"/>
          <w:sz w:val="24"/>
          <w:szCs w:val="24"/>
          <w:lang w:eastAsia="zh-CN"/>
        </w:rPr>
        <w:t>投标人</w:t>
      </w:r>
      <w:r>
        <w:rPr>
          <w:rFonts w:hint="eastAsia" w:ascii="宋体" w:hAnsi="宋体" w:eastAsia="宋体"/>
          <w:color w:val="000000"/>
          <w:sz w:val="24"/>
          <w:szCs w:val="24"/>
        </w:rPr>
        <w:t>承担超计划使用的水、电、通讯等费用。</w:t>
      </w:r>
    </w:p>
    <w:p w14:paraId="7F4A1C7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szCs w:val="24"/>
          <w:lang w:eastAsia="zh-CN"/>
        </w:rPr>
      </w:pPr>
      <w:r>
        <w:rPr>
          <w:rFonts w:hint="eastAsia" w:ascii="宋体" w:hAnsi="宋体" w:eastAsia="宋体"/>
          <w:color w:val="000000"/>
          <w:sz w:val="24"/>
          <w:szCs w:val="24"/>
        </w:rPr>
        <w:t>（十一）为学校的各类大型活动（军训、运动会、省赛、国赛、各项考试等）提供医疗保障</w:t>
      </w:r>
      <w:r>
        <w:rPr>
          <w:rFonts w:hint="eastAsia" w:ascii="宋体" w:hAnsi="宋体" w:eastAsia="宋体"/>
          <w:color w:val="000000"/>
          <w:sz w:val="24"/>
          <w:szCs w:val="24"/>
          <w:lang w:eastAsia="zh-CN"/>
        </w:rPr>
        <w:t>，</w:t>
      </w:r>
      <w:r>
        <w:rPr>
          <w:rFonts w:ascii="宋体" w:hAnsi="宋体" w:eastAsia="宋体" w:cs="宋体"/>
          <w:color w:val="auto"/>
          <w:sz w:val="24"/>
          <w:szCs w:val="24"/>
        </w:rPr>
        <w:t>每年免费提供3次大型活动所需急救车服务</w:t>
      </w:r>
      <w:r>
        <w:rPr>
          <w:rFonts w:hint="eastAsia" w:ascii="宋体" w:hAnsi="宋体" w:eastAsia="宋体" w:cs="宋体"/>
          <w:color w:val="auto"/>
          <w:sz w:val="24"/>
          <w:szCs w:val="24"/>
          <w:lang w:eastAsia="zh-CN"/>
        </w:rPr>
        <w:t>。</w:t>
      </w:r>
    </w:p>
    <w:p w14:paraId="6101E37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（十二）新生体检费和体检项目按照《江苏省高等学校服务性收费和代收费管理暂行办法》执行。</w:t>
      </w:r>
    </w:p>
    <w:p w14:paraId="4778604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（十三）其他服务：</w:t>
      </w:r>
    </w:p>
    <w:p w14:paraId="285E83E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能免费为师生提供生命安全教育（如：艾滋病宣传教育、急救知识培训等）能免费提供心电图设备，血、尿常规检查设备。</w:t>
      </w:r>
    </w:p>
    <w:p w14:paraId="58AC4723">
      <w:pPr>
        <w:keepNext w:val="0"/>
        <w:keepLines w:val="0"/>
        <w:pageBreakBefore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szCs w:val="24"/>
        </w:rPr>
      </w:pPr>
      <w:r>
        <w:rPr>
          <w:rFonts w:hint="eastAsia" w:ascii="宋体" w:hAnsi="宋体" w:eastAsia="宋体"/>
          <w:color w:val="000000"/>
          <w:sz w:val="24"/>
          <w:szCs w:val="24"/>
        </w:rPr>
        <w:t>南京机电职业技术学院高淳新校区医务室的注册年审（诊疗业务范围）等事项。</w:t>
      </w:r>
    </w:p>
    <w:p w14:paraId="6DF9F0BD">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eastAsia="宋体"/>
          <w:color w:val="000000"/>
        </w:rPr>
      </w:pPr>
      <w:r>
        <w:rPr>
          <w:rFonts w:hint="eastAsia" w:ascii="宋体" w:hAnsi="宋体" w:eastAsia="宋体"/>
          <w:color w:val="000000"/>
          <w:sz w:val="24"/>
          <w:szCs w:val="24"/>
        </w:rPr>
        <w:t>（十五）大学生医保参保工作需求。新生入学后对接市医保中心组织新生及复学学生参保续保工作、因医保卡未及时开通或异地就医等特殊情况导致的未刷卡就医学生的零星报销业务。</w:t>
      </w:r>
    </w:p>
    <w:p w14:paraId="7CCE09FD">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ascii="宋体" w:hAnsi="宋体" w:eastAsia="宋体"/>
          <w:b/>
          <w:bCs/>
          <w:color w:val="000000"/>
          <w:sz w:val="24"/>
          <w:szCs w:val="24"/>
        </w:rPr>
      </w:pPr>
      <w:r>
        <w:rPr>
          <w:rFonts w:hint="eastAsia" w:ascii="宋体" w:hAnsi="宋体" w:eastAsia="宋体"/>
          <w:b/>
          <w:bCs/>
          <w:color w:val="000000"/>
          <w:sz w:val="24"/>
          <w:szCs w:val="24"/>
          <w:lang w:val="en-US" w:eastAsia="zh-CN"/>
        </w:rPr>
        <w:t>四</w:t>
      </w:r>
      <w:r>
        <w:rPr>
          <w:rFonts w:hint="eastAsia" w:ascii="宋体" w:hAnsi="宋体" w:eastAsia="宋体"/>
          <w:b/>
          <w:bCs/>
          <w:color w:val="000000"/>
          <w:sz w:val="24"/>
          <w:szCs w:val="24"/>
        </w:rPr>
        <w:t>、招标预算及报价说明</w:t>
      </w:r>
    </w:p>
    <w:p w14:paraId="6E66D27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（一）</w:t>
      </w:r>
      <w:r>
        <w:rPr>
          <w:rFonts w:hint="eastAsia" w:ascii="宋体" w:hAnsi="宋体" w:eastAsia="宋体"/>
          <w:color w:val="000000"/>
          <w:sz w:val="24"/>
          <w:szCs w:val="24"/>
          <w:lang w:eastAsia="zh-CN"/>
        </w:rPr>
        <w:t>投标人</w:t>
      </w:r>
      <w:r>
        <w:rPr>
          <w:rFonts w:hint="eastAsia" w:ascii="宋体" w:hAnsi="宋体" w:eastAsia="宋体"/>
          <w:color w:val="000000"/>
          <w:sz w:val="24"/>
          <w:szCs w:val="24"/>
        </w:rPr>
        <w:t>报价是根据招标文件所确定的管理服务范围内的全部工作人员和内容的价格体现，是为完成招标文件规定的服务管理工作所</w:t>
      </w:r>
      <w:r>
        <w:rPr>
          <w:rFonts w:hint="eastAsia" w:ascii="宋体" w:hAnsi="宋体" w:eastAsia="宋体"/>
          <w:color w:val="000000"/>
          <w:sz w:val="24"/>
          <w:szCs w:val="24"/>
          <w:lang w:eastAsia="zh-CN"/>
        </w:rPr>
        <w:t>涉及</w:t>
      </w:r>
      <w:r>
        <w:rPr>
          <w:rFonts w:hint="eastAsia" w:ascii="宋体" w:hAnsi="宋体" w:eastAsia="宋体"/>
          <w:color w:val="000000"/>
          <w:sz w:val="24"/>
          <w:szCs w:val="24"/>
        </w:rPr>
        <w:t>的一切费用。包括但不仅限于人员费用（12个月工资、全年福利、培训、体检、社会保险、加班费等）</w:t>
      </w:r>
      <w:r>
        <w:rPr>
          <w:rFonts w:hint="eastAsia" w:ascii="宋体" w:hAnsi="宋体" w:eastAsia="宋体"/>
          <w:color w:val="000000"/>
          <w:sz w:val="24"/>
          <w:szCs w:val="24"/>
          <w:lang w:eastAsia="zh-CN"/>
        </w:rPr>
        <w:t>，</w:t>
      </w:r>
      <w:r>
        <w:rPr>
          <w:rFonts w:hint="eastAsia" w:ascii="宋体" w:hAnsi="宋体" w:eastAsia="宋体"/>
          <w:color w:val="000000"/>
          <w:sz w:val="24"/>
          <w:szCs w:val="24"/>
        </w:rPr>
        <w:t>服务所用设备、工具购置及维护费用，服务所用材料消耗费用、管理费用、利润、税金等支出。招标文件未列明，而</w:t>
      </w:r>
      <w:r>
        <w:rPr>
          <w:rFonts w:hint="eastAsia" w:ascii="宋体" w:hAnsi="宋体" w:eastAsia="宋体"/>
          <w:color w:val="000000"/>
          <w:sz w:val="24"/>
          <w:szCs w:val="24"/>
          <w:lang w:eastAsia="zh-CN"/>
        </w:rPr>
        <w:t>投标人</w:t>
      </w:r>
      <w:r>
        <w:rPr>
          <w:rFonts w:hint="eastAsia" w:ascii="宋体" w:hAnsi="宋体" w:eastAsia="宋体"/>
          <w:color w:val="000000"/>
          <w:sz w:val="24"/>
          <w:szCs w:val="24"/>
        </w:rPr>
        <w:t>认为必需的费用也需列入报价。</w:t>
      </w:r>
    </w:p>
    <w:p w14:paraId="2EC6D0E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rPr>
        <w:t>（二）报价是一年价格，本报价必须充分考虑所有可能影响到报价的价格因素，一旦投标结束最终成交，总价将包定，合同期内一般不予调整。如发生漏、缺、少项，都将被认为是</w:t>
      </w:r>
      <w:r>
        <w:rPr>
          <w:rFonts w:hint="eastAsia" w:ascii="宋体" w:hAnsi="宋体" w:eastAsia="宋体"/>
          <w:color w:val="000000"/>
          <w:sz w:val="24"/>
          <w:szCs w:val="24"/>
          <w:lang w:eastAsia="zh-CN"/>
        </w:rPr>
        <w:t>投标人</w:t>
      </w:r>
      <w:r>
        <w:rPr>
          <w:rFonts w:hint="eastAsia" w:ascii="宋体" w:hAnsi="宋体" w:eastAsia="宋体"/>
          <w:color w:val="000000"/>
          <w:sz w:val="24"/>
          <w:szCs w:val="24"/>
        </w:rPr>
        <w:t>的报价让利行为。</w:t>
      </w:r>
      <w:bookmarkStart w:id="49" w:name="_Hlk153806354"/>
    </w:p>
    <w:bookmarkEnd w:id="49"/>
    <w:p w14:paraId="3EB1365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textAlignment w:val="auto"/>
        <w:rPr>
          <w:rFonts w:ascii="宋体" w:hAnsi="宋体" w:eastAsia="宋体"/>
          <w:b/>
          <w:bCs/>
          <w:color w:val="000000"/>
          <w:sz w:val="24"/>
          <w:szCs w:val="24"/>
        </w:rPr>
      </w:pPr>
      <w:r>
        <w:rPr>
          <w:rFonts w:hint="eastAsia" w:ascii="宋体" w:hAnsi="宋体" w:eastAsia="宋体"/>
          <w:b/>
          <w:bCs/>
          <w:color w:val="000000"/>
          <w:sz w:val="24"/>
          <w:szCs w:val="24"/>
          <w:lang w:val="en-US" w:eastAsia="zh-CN"/>
        </w:rPr>
        <w:t>五</w:t>
      </w:r>
      <w:r>
        <w:rPr>
          <w:rFonts w:hint="eastAsia" w:ascii="宋体" w:hAnsi="宋体" w:eastAsia="宋体"/>
          <w:b/>
          <w:bCs/>
          <w:color w:val="000000"/>
          <w:sz w:val="24"/>
          <w:szCs w:val="24"/>
        </w:rPr>
        <w:t>、其他要求</w:t>
      </w:r>
    </w:p>
    <w:p w14:paraId="37FFFE0F">
      <w:pPr>
        <w:keepNext w:val="0"/>
        <w:keepLines w:val="0"/>
        <w:pageBreakBefore w:val="0"/>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（一）</w:t>
      </w:r>
      <w:r>
        <w:rPr>
          <w:rFonts w:hint="eastAsia" w:ascii="宋体" w:hAnsi="宋体" w:eastAsia="宋体"/>
          <w:bCs/>
          <w:color w:val="000000"/>
          <w:sz w:val="24"/>
          <w:szCs w:val="24"/>
          <w:lang w:val="en-US" w:eastAsia="zh-CN"/>
        </w:rPr>
        <w:t>投标人</w:t>
      </w:r>
      <w:r>
        <w:rPr>
          <w:rFonts w:ascii="宋体" w:hAnsi="宋体" w:eastAsia="宋体"/>
          <w:bCs/>
          <w:color w:val="000000"/>
          <w:sz w:val="24"/>
          <w:szCs w:val="24"/>
          <w:lang w:val="en-US"/>
        </w:rPr>
        <w:t>须遵守国家政策法规，自行承担引进服务中的所有法律、经济责任</w:t>
      </w:r>
      <w:r>
        <w:rPr>
          <w:rFonts w:hint="eastAsia" w:ascii="宋体" w:hAnsi="宋体" w:eastAsia="宋体"/>
          <w:bCs/>
          <w:color w:val="000000"/>
          <w:sz w:val="24"/>
          <w:szCs w:val="24"/>
          <w:lang w:val="en-US"/>
        </w:rPr>
        <w:t>。</w:t>
      </w:r>
    </w:p>
    <w:p w14:paraId="6E593C98">
      <w:pPr>
        <w:keepNext w:val="0"/>
        <w:keepLines w:val="0"/>
        <w:pageBreakBefore w:val="0"/>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（二）</w:t>
      </w:r>
      <w:r>
        <w:rPr>
          <w:rFonts w:hint="eastAsia" w:ascii="宋体" w:hAnsi="宋体" w:eastAsia="宋体"/>
          <w:bCs/>
          <w:color w:val="000000"/>
          <w:sz w:val="24"/>
          <w:szCs w:val="24"/>
          <w:lang w:val="en-US" w:eastAsia="zh-CN"/>
        </w:rPr>
        <w:t>投标人</w:t>
      </w:r>
      <w:r>
        <w:rPr>
          <w:rFonts w:ascii="宋体" w:hAnsi="宋体" w:eastAsia="宋体"/>
          <w:bCs/>
          <w:color w:val="000000"/>
          <w:sz w:val="24"/>
          <w:szCs w:val="24"/>
          <w:lang w:val="en-US"/>
        </w:rPr>
        <w:t>负责门前“三包”</w:t>
      </w:r>
      <w:r>
        <w:rPr>
          <w:rFonts w:hint="eastAsia" w:ascii="宋体" w:hAnsi="宋体" w:eastAsia="宋体"/>
          <w:bCs/>
          <w:color w:val="000000"/>
          <w:sz w:val="24"/>
          <w:szCs w:val="24"/>
          <w:lang w:val="en-US"/>
        </w:rPr>
        <w:t>。</w:t>
      </w:r>
    </w:p>
    <w:p w14:paraId="5C2D350D">
      <w:pPr>
        <w:keepNext w:val="0"/>
        <w:keepLines w:val="0"/>
        <w:pageBreakBefore w:val="0"/>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（三）</w:t>
      </w:r>
      <w:r>
        <w:rPr>
          <w:rFonts w:hint="eastAsia" w:ascii="宋体" w:hAnsi="宋体" w:eastAsia="宋体"/>
          <w:bCs/>
          <w:color w:val="000000"/>
          <w:sz w:val="24"/>
          <w:szCs w:val="24"/>
          <w:lang w:val="en-US" w:eastAsia="zh-CN"/>
        </w:rPr>
        <w:t>投标人</w:t>
      </w:r>
      <w:r>
        <w:rPr>
          <w:rFonts w:ascii="宋体" w:hAnsi="宋体" w:eastAsia="宋体"/>
          <w:bCs/>
          <w:color w:val="000000"/>
          <w:sz w:val="24"/>
          <w:szCs w:val="24"/>
          <w:lang w:val="en-US"/>
        </w:rPr>
        <w:t>在服务过程中发生的一切债权和债务由</w:t>
      </w:r>
      <w:r>
        <w:rPr>
          <w:rFonts w:hint="eastAsia" w:ascii="宋体" w:hAnsi="宋体" w:eastAsia="宋体"/>
          <w:bCs/>
          <w:color w:val="000000"/>
          <w:sz w:val="24"/>
          <w:szCs w:val="24"/>
          <w:lang w:val="en-US" w:eastAsia="zh-CN"/>
        </w:rPr>
        <w:t>投标人</w:t>
      </w:r>
      <w:r>
        <w:rPr>
          <w:rFonts w:ascii="宋体" w:hAnsi="宋体" w:eastAsia="宋体"/>
          <w:bCs/>
          <w:color w:val="000000"/>
          <w:sz w:val="24"/>
          <w:szCs w:val="24"/>
          <w:lang w:val="en-US"/>
        </w:rPr>
        <w:t>负责。</w:t>
      </w:r>
      <w:r>
        <w:rPr>
          <w:rFonts w:hint="eastAsia" w:ascii="宋体" w:hAnsi="宋体" w:eastAsia="宋体"/>
          <w:bCs/>
          <w:color w:val="000000"/>
          <w:sz w:val="24"/>
          <w:szCs w:val="24"/>
          <w:lang w:val="en-US" w:eastAsia="zh-CN"/>
        </w:rPr>
        <w:t>投标人</w:t>
      </w:r>
      <w:r>
        <w:rPr>
          <w:rFonts w:ascii="宋体" w:hAnsi="宋体" w:eastAsia="宋体"/>
          <w:bCs/>
          <w:color w:val="000000"/>
          <w:sz w:val="24"/>
          <w:szCs w:val="24"/>
          <w:lang w:val="en-US"/>
        </w:rPr>
        <w:t>用工必须符合《</w:t>
      </w:r>
      <w:r>
        <w:rPr>
          <w:rFonts w:hint="eastAsia" w:ascii="宋体" w:hAnsi="宋体" w:eastAsia="宋体"/>
          <w:bCs/>
          <w:color w:val="000000"/>
          <w:sz w:val="24"/>
          <w:szCs w:val="24"/>
          <w:lang w:val="en-US" w:eastAsia="zh-CN"/>
        </w:rPr>
        <w:t>中华人民共和国劳动法</w:t>
      </w:r>
      <w:r>
        <w:rPr>
          <w:rFonts w:ascii="宋体" w:hAnsi="宋体" w:eastAsia="宋体"/>
          <w:bCs/>
          <w:color w:val="000000"/>
          <w:sz w:val="24"/>
          <w:szCs w:val="24"/>
          <w:lang w:val="en-US"/>
        </w:rPr>
        <w:t>》相关规定，负责管理用工并承担他们的一切费用（含工资、福利</w:t>
      </w:r>
      <w:r>
        <w:rPr>
          <w:rFonts w:hint="eastAsia" w:ascii="宋体" w:hAnsi="宋体" w:eastAsia="宋体"/>
          <w:bCs/>
          <w:color w:val="000000"/>
          <w:sz w:val="24"/>
          <w:szCs w:val="24"/>
          <w:lang w:val="en-US" w:eastAsia="zh-CN"/>
        </w:rPr>
        <w:t>及</w:t>
      </w:r>
      <w:r>
        <w:rPr>
          <w:rFonts w:ascii="宋体" w:hAnsi="宋体" w:eastAsia="宋体"/>
          <w:bCs/>
          <w:color w:val="000000"/>
          <w:sz w:val="24"/>
          <w:szCs w:val="24"/>
          <w:lang w:val="en-US"/>
        </w:rPr>
        <w:t xml:space="preserve">人身伤亡事故赔偿等）。 </w:t>
      </w:r>
    </w:p>
    <w:p w14:paraId="00F59BEC">
      <w:pPr>
        <w:keepNext w:val="0"/>
        <w:keepLines w:val="0"/>
        <w:pageBreakBefore w:val="0"/>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（四）</w:t>
      </w:r>
      <w:r>
        <w:rPr>
          <w:rFonts w:ascii="宋体" w:hAnsi="宋体" w:eastAsia="宋体"/>
          <w:bCs/>
          <w:color w:val="000000"/>
          <w:sz w:val="24"/>
          <w:szCs w:val="24"/>
          <w:lang w:val="en-US"/>
        </w:rPr>
        <w:t>须严格遵守学校的各项规章制度，必须无条件的接受</w:t>
      </w:r>
      <w:r>
        <w:rPr>
          <w:rFonts w:hint="eastAsia" w:ascii="宋体" w:hAnsi="宋体" w:eastAsia="宋体"/>
          <w:bCs/>
          <w:color w:val="000000"/>
          <w:sz w:val="24"/>
          <w:szCs w:val="24"/>
          <w:lang w:val="en-US" w:eastAsia="zh-CN"/>
        </w:rPr>
        <w:t>招标人</w:t>
      </w:r>
      <w:r>
        <w:rPr>
          <w:rFonts w:ascii="宋体" w:hAnsi="宋体" w:eastAsia="宋体"/>
          <w:bCs/>
          <w:color w:val="000000"/>
          <w:sz w:val="24"/>
          <w:szCs w:val="24"/>
          <w:lang w:val="en-US"/>
        </w:rPr>
        <w:t>对</w:t>
      </w:r>
      <w:r>
        <w:rPr>
          <w:rFonts w:hint="eastAsia" w:ascii="宋体" w:hAnsi="宋体" w:eastAsia="宋体"/>
          <w:bCs/>
          <w:color w:val="000000"/>
          <w:sz w:val="24"/>
          <w:szCs w:val="24"/>
          <w:lang w:val="en-US" w:eastAsia="zh-CN"/>
        </w:rPr>
        <w:t>投标人</w:t>
      </w:r>
      <w:r>
        <w:rPr>
          <w:rFonts w:ascii="宋体" w:hAnsi="宋体" w:eastAsia="宋体"/>
          <w:bCs/>
          <w:color w:val="000000"/>
          <w:sz w:val="24"/>
          <w:szCs w:val="24"/>
          <w:lang w:val="en-US"/>
        </w:rPr>
        <w:t>的综合考核及处罚。</w:t>
      </w:r>
    </w:p>
    <w:p w14:paraId="76054E79">
      <w:pPr>
        <w:keepNext w:val="0"/>
        <w:keepLines w:val="0"/>
        <w:pageBreakBefore w:val="0"/>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（五）</w:t>
      </w:r>
      <w:r>
        <w:rPr>
          <w:rFonts w:hint="eastAsia" w:ascii="宋体" w:hAnsi="宋体" w:eastAsia="宋体"/>
          <w:bCs/>
          <w:color w:val="000000"/>
          <w:sz w:val="24"/>
          <w:szCs w:val="24"/>
          <w:lang w:val="en-US" w:eastAsia="zh-CN"/>
        </w:rPr>
        <w:t>招标人</w:t>
      </w:r>
      <w:r>
        <w:rPr>
          <w:rFonts w:ascii="宋体" w:hAnsi="宋体" w:eastAsia="宋体"/>
          <w:bCs/>
          <w:color w:val="000000"/>
          <w:sz w:val="24"/>
          <w:szCs w:val="24"/>
          <w:lang w:val="en-US"/>
        </w:rPr>
        <w:t>有权监督</w:t>
      </w:r>
      <w:r>
        <w:rPr>
          <w:rFonts w:hint="eastAsia" w:ascii="宋体" w:hAnsi="宋体" w:eastAsia="宋体"/>
          <w:bCs/>
          <w:color w:val="000000"/>
          <w:sz w:val="24"/>
          <w:szCs w:val="24"/>
          <w:lang w:val="en-US" w:eastAsia="zh-CN"/>
        </w:rPr>
        <w:t>投标人</w:t>
      </w:r>
      <w:r>
        <w:rPr>
          <w:rFonts w:ascii="宋体" w:hAnsi="宋体" w:eastAsia="宋体"/>
          <w:bCs/>
          <w:color w:val="000000"/>
          <w:sz w:val="24"/>
          <w:szCs w:val="24"/>
          <w:lang w:val="en-US"/>
        </w:rPr>
        <w:t>的服务项目和服务活动。</w:t>
      </w:r>
    </w:p>
    <w:p w14:paraId="5F0B3F62">
      <w:pPr>
        <w:keepNext w:val="0"/>
        <w:keepLines w:val="0"/>
        <w:pageBreakBefore w:val="0"/>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（六）协议期满前及协议期满后终止协议的处理方式：</w:t>
      </w:r>
    </w:p>
    <w:p w14:paraId="45177FCA">
      <w:pPr>
        <w:keepNext w:val="0"/>
        <w:keepLines w:val="0"/>
        <w:pageBreakBefore w:val="0"/>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1、</w:t>
      </w:r>
      <w:r>
        <w:rPr>
          <w:rFonts w:hint="eastAsia" w:ascii="宋体" w:hAnsi="宋体" w:eastAsia="宋体"/>
          <w:bCs/>
          <w:color w:val="000000"/>
          <w:sz w:val="24"/>
          <w:szCs w:val="24"/>
          <w:lang w:val="en-US" w:eastAsia="zh-CN"/>
        </w:rPr>
        <w:t>投标人</w:t>
      </w:r>
      <w:r>
        <w:rPr>
          <w:rFonts w:hint="eastAsia" w:ascii="宋体" w:hAnsi="宋体" w:eastAsia="宋体"/>
          <w:bCs/>
          <w:color w:val="000000"/>
          <w:sz w:val="24"/>
          <w:szCs w:val="24"/>
          <w:lang w:val="en-US"/>
        </w:rPr>
        <w:t>如不能提供正常医疗服务、违反</w:t>
      </w:r>
      <w:r>
        <w:rPr>
          <w:rFonts w:hint="eastAsia" w:ascii="宋体" w:hAnsi="宋体" w:eastAsia="宋体"/>
          <w:bCs/>
          <w:color w:val="000000"/>
          <w:sz w:val="24"/>
          <w:szCs w:val="24"/>
          <w:lang w:val="en-US" w:eastAsia="zh-CN"/>
        </w:rPr>
        <w:t>相应</w:t>
      </w:r>
      <w:r>
        <w:rPr>
          <w:rFonts w:hint="eastAsia" w:ascii="宋体" w:hAnsi="宋体" w:eastAsia="宋体"/>
          <w:bCs/>
          <w:color w:val="000000"/>
          <w:sz w:val="24"/>
          <w:szCs w:val="24"/>
          <w:lang w:val="en-US"/>
        </w:rPr>
        <w:t>的医疗收费规定或出现重大医疗责任事故（以医疗事故鉴定为准）</w:t>
      </w:r>
      <w:r>
        <w:rPr>
          <w:rFonts w:hint="eastAsia" w:ascii="宋体" w:hAnsi="宋体" w:eastAsia="宋体" w:cs="Times New Roman"/>
          <w:bCs/>
          <w:color w:val="000000"/>
          <w:sz w:val="24"/>
          <w:szCs w:val="24"/>
        </w:rPr>
        <w:t>，</w:t>
      </w:r>
      <w:r>
        <w:rPr>
          <w:rFonts w:hint="eastAsia" w:ascii="宋体" w:hAnsi="宋体" w:eastAsia="宋体" w:cs="Times New Roman"/>
          <w:bCs/>
          <w:color w:val="000000"/>
          <w:sz w:val="24"/>
          <w:szCs w:val="24"/>
          <w:lang w:eastAsia="zh-CN"/>
        </w:rPr>
        <w:t>投标人</w:t>
      </w:r>
      <w:r>
        <w:rPr>
          <w:rFonts w:hint="eastAsia" w:ascii="宋体" w:hAnsi="宋体" w:eastAsia="宋体" w:cs="Times New Roman"/>
          <w:bCs/>
          <w:color w:val="000000"/>
          <w:sz w:val="24"/>
          <w:szCs w:val="24"/>
        </w:rPr>
        <w:t>须给受害者提供相应的补偿，</w:t>
      </w:r>
      <w:r>
        <w:rPr>
          <w:rFonts w:hint="eastAsia" w:ascii="宋体" w:hAnsi="宋体" w:eastAsia="宋体" w:cs="Times New Roman"/>
          <w:bCs/>
          <w:color w:val="000000"/>
          <w:sz w:val="24"/>
          <w:szCs w:val="24"/>
          <w:lang w:eastAsia="zh-CN"/>
        </w:rPr>
        <w:t>招标人</w:t>
      </w:r>
      <w:r>
        <w:rPr>
          <w:rFonts w:hint="eastAsia" w:ascii="宋体" w:hAnsi="宋体" w:eastAsia="宋体" w:cs="Times New Roman"/>
          <w:bCs/>
          <w:color w:val="000000"/>
          <w:sz w:val="24"/>
          <w:szCs w:val="24"/>
        </w:rPr>
        <w:t>有权终止与</w:t>
      </w:r>
      <w:r>
        <w:rPr>
          <w:rFonts w:hint="eastAsia" w:ascii="宋体" w:hAnsi="宋体" w:eastAsia="宋体" w:cs="Times New Roman"/>
          <w:bCs/>
          <w:color w:val="000000"/>
          <w:sz w:val="24"/>
          <w:szCs w:val="24"/>
          <w:lang w:eastAsia="zh-CN"/>
        </w:rPr>
        <w:t>投标人</w:t>
      </w:r>
      <w:r>
        <w:rPr>
          <w:rFonts w:hint="eastAsia" w:ascii="宋体" w:hAnsi="宋体" w:eastAsia="宋体"/>
          <w:bCs/>
          <w:color w:val="000000"/>
          <w:sz w:val="24"/>
          <w:szCs w:val="24"/>
          <w:lang w:val="en-US"/>
        </w:rPr>
        <w:t>的合作。</w:t>
      </w:r>
    </w:p>
    <w:p w14:paraId="73434428">
      <w:pPr>
        <w:keepNext w:val="0"/>
        <w:keepLines w:val="0"/>
        <w:pageBreakBefore w:val="0"/>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2、合作期满或按规定</w:t>
      </w:r>
      <w:r>
        <w:rPr>
          <w:rFonts w:hint="eastAsia" w:ascii="宋体" w:hAnsi="宋体" w:eastAsia="宋体"/>
          <w:bCs/>
          <w:color w:val="000000"/>
          <w:sz w:val="24"/>
          <w:szCs w:val="24"/>
          <w:lang w:val="en-US" w:eastAsia="zh-CN"/>
        </w:rPr>
        <w:t>终止</w:t>
      </w:r>
      <w:r>
        <w:rPr>
          <w:rFonts w:hint="eastAsia" w:ascii="宋体" w:hAnsi="宋体" w:eastAsia="宋体"/>
          <w:bCs/>
          <w:color w:val="000000"/>
          <w:sz w:val="24"/>
          <w:szCs w:val="24"/>
          <w:lang w:val="en-US"/>
        </w:rPr>
        <w:t>后，</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有权收回房屋。</w:t>
      </w:r>
      <w:r>
        <w:rPr>
          <w:rFonts w:hint="eastAsia" w:ascii="宋体" w:hAnsi="宋体" w:eastAsia="宋体"/>
          <w:bCs/>
          <w:color w:val="000000"/>
          <w:sz w:val="24"/>
          <w:szCs w:val="24"/>
          <w:lang w:val="en-US" w:eastAsia="zh-CN"/>
        </w:rPr>
        <w:t>投标人</w:t>
      </w:r>
      <w:r>
        <w:rPr>
          <w:rFonts w:hint="eastAsia" w:ascii="宋体" w:hAnsi="宋体" w:eastAsia="宋体"/>
          <w:bCs/>
          <w:color w:val="000000"/>
          <w:sz w:val="24"/>
          <w:szCs w:val="24"/>
          <w:lang w:val="en-US"/>
        </w:rPr>
        <w:t>应在5日内自行撤除自有设备、设施及一切物品。如超出约定期限，</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有处置留存物品的权利，由此造成的损失（费用）由</w:t>
      </w:r>
      <w:r>
        <w:rPr>
          <w:rFonts w:hint="eastAsia" w:ascii="宋体" w:hAnsi="宋体" w:eastAsia="宋体"/>
          <w:bCs/>
          <w:color w:val="000000"/>
          <w:sz w:val="24"/>
          <w:szCs w:val="24"/>
          <w:lang w:val="en-US" w:eastAsia="zh-CN"/>
        </w:rPr>
        <w:t>投标人</w:t>
      </w:r>
      <w:r>
        <w:rPr>
          <w:rFonts w:hint="eastAsia" w:ascii="宋体" w:hAnsi="宋体" w:eastAsia="宋体"/>
          <w:bCs/>
          <w:color w:val="000000"/>
          <w:sz w:val="24"/>
          <w:szCs w:val="24"/>
          <w:lang w:val="en-US"/>
        </w:rPr>
        <w:t>承担。</w:t>
      </w:r>
    </w:p>
    <w:p w14:paraId="3ACB4812">
      <w:pPr>
        <w:keepNext w:val="0"/>
        <w:keepLines w:val="0"/>
        <w:pageBreakBefore w:val="0"/>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3、</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与</w:t>
      </w:r>
      <w:r>
        <w:rPr>
          <w:rFonts w:hint="eastAsia" w:ascii="宋体" w:hAnsi="宋体" w:eastAsia="宋体"/>
          <w:bCs/>
          <w:color w:val="000000"/>
          <w:sz w:val="24"/>
          <w:szCs w:val="24"/>
          <w:lang w:val="en-US" w:eastAsia="zh-CN"/>
        </w:rPr>
        <w:t>投标人</w:t>
      </w:r>
      <w:r>
        <w:rPr>
          <w:rFonts w:hint="eastAsia" w:ascii="宋体" w:hAnsi="宋体" w:eastAsia="宋体"/>
          <w:bCs/>
          <w:color w:val="000000"/>
          <w:sz w:val="24"/>
          <w:szCs w:val="24"/>
          <w:lang w:val="en-US"/>
        </w:rPr>
        <w:t>签订合作协议后，在协议履行过程中若一方提出解除协议，需提前三个月预先通知对方，并承担相应违约责任。</w:t>
      </w:r>
    </w:p>
    <w:p w14:paraId="5F4948D6">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color w:val="000000"/>
          <w:sz w:val="24"/>
          <w:szCs w:val="24"/>
          <w:lang w:val="en-US"/>
        </w:rPr>
      </w:pPr>
      <w:r>
        <w:rPr>
          <w:rFonts w:hint="eastAsia" w:ascii="宋体" w:hAnsi="宋体" w:eastAsia="宋体"/>
          <w:b/>
          <w:bCs/>
          <w:color w:val="000000"/>
          <w:sz w:val="24"/>
          <w:szCs w:val="24"/>
          <w:lang w:val="en-US" w:eastAsia="zh-CN"/>
        </w:rPr>
        <w:t>六</w:t>
      </w:r>
      <w:r>
        <w:rPr>
          <w:rFonts w:hint="eastAsia" w:ascii="宋体" w:hAnsi="宋体" w:eastAsia="宋体"/>
          <w:b/>
          <w:bCs/>
          <w:color w:val="000000"/>
          <w:sz w:val="24"/>
          <w:szCs w:val="24"/>
          <w:lang w:val="en-US"/>
        </w:rPr>
        <w:t>、付款方式</w:t>
      </w:r>
    </w:p>
    <w:p w14:paraId="57D21BB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rPr>
        <w:t>年度</w:t>
      </w:r>
      <w:r>
        <w:rPr>
          <w:rFonts w:hint="eastAsia" w:ascii="宋体" w:hAnsi="宋体" w:eastAsia="宋体"/>
          <w:bCs/>
          <w:color w:val="000000"/>
          <w:sz w:val="24"/>
          <w:szCs w:val="24"/>
          <w:lang w:val="en-US"/>
        </w:rPr>
        <w:t>服务费分二次支付。每学期开学后</w:t>
      </w:r>
      <w:r>
        <w:rPr>
          <w:rFonts w:hint="eastAsia" w:ascii="宋体" w:hAnsi="宋体" w:eastAsia="宋体"/>
          <w:bCs/>
          <w:color w:val="000000"/>
          <w:sz w:val="24"/>
          <w:szCs w:val="24"/>
          <w:lang w:val="en-US" w:eastAsia="zh-CN"/>
        </w:rPr>
        <w:t>一个</w:t>
      </w:r>
      <w:r>
        <w:rPr>
          <w:rFonts w:hint="eastAsia" w:ascii="宋体" w:hAnsi="宋体" w:eastAsia="宋体"/>
          <w:bCs/>
          <w:color w:val="000000"/>
          <w:sz w:val="24"/>
          <w:szCs w:val="24"/>
          <w:lang w:val="en-US"/>
        </w:rPr>
        <w:t>月内，</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支付年度总服务费用的50％。</w:t>
      </w:r>
    </w:p>
    <w:p w14:paraId="1899E539">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hAnsi="宋体" w:eastAsia="宋体"/>
          <w:b/>
          <w:bCs/>
          <w:color w:val="000000"/>
          <w:sz w:val="24"/>
          <w:szCs w:val="24"/>
          <w:lang w:val="en-US"/>
        </w:rPr>
      </w:pPr>
      <w:r>
        <w:rPr>
          <w:rFonts w:hint="eastAsia" w:ascii="宋体" w:hAnsi="宋体" w:eastAsia="宋体"/>
          <w:bCs/>
          <w:color w:val="000000"/>
          <w:sz w:val="24"/>
          <w:szCs w:val="24"/>
          <w:lang w:val="en-US"/>
        </w:rPr>
        <w:t xml:space="preserve">    </w:t>
      </w:r>
      <w:r>
        <w:rPr>
          <w:rFonts w:hint="eastAsia" w:ascii="宋体" w:hAnsi="宋体" w:eastAsia="宋体"/>
          <w:b/>
          <w:bCs/>
          <w:color w:val="000000"/>
          <w:sz w:val="24"/>
          <w:szCs w:val="24"/>
          <w:lang w:val="en-US" w:eastAsia="zh-CN"/>
        </w:rPr>
        <w:t>七</w:t>
      </w:r>
      <w:r>
        <w:rPr>
          <w:rFonts w:hint="eastAsia" w:ascii="宋体" w:hAnsi="宋体" w:eastAsia="宋体"/>
          <w:b/>
          <w:bCs/>
          <w:color w:val="000000"/>
          <w:sz w:val="24"/>
          <w:szCs w:val="24"/>
          <w:lang w:val="en-US"/>
        </w:rPr>
        <w:t>、特别说明</w:t>
      </w:r>
    </w:p>
    <w:p w14:paraId="271FE192">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（一）</w:t>
      </w:r>
      <w:r>
        <w:rPr>
          <w:rFonts w:hint="eastAsia" w:ascii="宋体" w:hAnsi="宋体" w:eastAsia="宋体"/>
          <w:bCs/>
          <w:color w:val="000000"/>
          <w:sz w:val="24"/>
          <w:szCs w:val="24"/>
          <w:lang w:val="en-US" w:eastAsia="zh-CN"/>
        </w:rPr>
        <w:t>投标人</w:t>
      </w:r>
      <w:r>
        <w:rPr>
          <w:rFonts w:hint="eastAsia" w:ascii="宋体" w:hAnsi="宋体" w:eastAsia="宋体"/>
          <w:bCs/>
          <w:color w:val="000000"/>
          <w:sz w:val="24"/>
          <w:szCs w:val="24"/>
          <w:lang w:val="en-US"/>
        </w:rPr>
        <w:t>必须接受</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的管理与监督检查，为</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的管理与监督检查提供便利条件，对</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提出的整改措施必须予以服从。</w:t>
      </w:r>
    </w:p>
    <w:p w14:paraId="3301A750">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（二）</w:t>
      </w:r>
      <w:r>
        <w:rPr>
          <w:rFonts w:hint="eastAsia" w:ascii="宋体" w:hAnsi="宋体" w:eastAsia="宋体"/>
          <w:bCs/>
          <w:color w:val="000000"/>
          <w:sz w:val="24"/>
          <w:szCs w:val="24"/>
          <w:lang w:val="en-US" w:eastAsia="zh-CN"/>
        </w:rPr>
        <w:t>投标人</w:t>
      </w:r>
      <w:r>
        <w:rPr>
          <w:rFonts w:hint="eastAsia" w:ascii="宋体" w:hAnsi="宋体" w:eastAsia="宋体"/>
          <w:bCs/>
          <w:color w:val="000000"/>
          <w:sz w:val="24"/>
          <w:szCs w:val="24"/>
          <w:lang w:val="en-US"/>
        </w:rPr>
        <w:t>应提供优质的服务及便利的措施，以便更好地服务于</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w:t>
      </w:r>
    </w:p>
    <w:p w14:paraId="707A708C">
      <w:pPr>
        <w:keepNext w:val="0"/>
        <w:keepLines w:val="0"/>
        <w:pageBreakBefore w:val="0"/>
        <w:widowControl/>
        <w:shd w:val="clear" w:color="auto" w:fill="FFFFFF"/>
        <w:kinsoku/>
        <w:wordWrap/>
        <w:overflowPunct/>
        <w:topLinePunct w:val="0"/>
        <w:autoSpaceDE/>
        <w:autoSpaceDN/>
        <w:bidi w:val="0"/>
        <w:adjustRightInd/>
        <w:snapToGrid/>
        <w:spacing w:line="360" w:lineRule="auto"/>
        <w:textAlignment w:val="auto"/>
        <w:rPr>
          <w:rFonts w:ascii="宋体" w:hAnsi="宋体" w:eastAsia="宋体"/>
          <w:bCs/>
          <w:color w:val="000000"/>
          <w:sz w:val="24"/>
          <w:szCs w:val="24"/>
          <w:lang w:val="en-US"/>
        </w:rPr>
      </w:pPr>
      <w:r>
        <w:rPr>
          <w:rFonts w:hint="eastAsia" w:ascii="宋体" w:hAnsi="宋体" w:eastAsia="宋体"/>
          <w:bCs/>
          <w:color w:val="000000"/>
          <w:sz w:val="24"/>
          <w:szCs w:val="24"/>
          <w:lang w:val="en-US"/>
        </w:rPr>
        <w:t xml:space="preserve">    （三）由于政府及相关部门原因或其他不可抗力导致停电、停水等情况的，</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不承担任何责任。</w:t>
      </w:r>
    </w:p>
    <w:p w14:paraId="448173D3">
      <w:pPr>
        <w:keepNext w:val="0"/>
        <w:keepLines w:val="0"/>
        <w:pageBreakBefore w:val="0"/>
        <w:shd w:val="clear" w:color="auto" w:fill="FFFFFF"/>
        <w:kinsoku/>
        <w:wordWrap/>
        <w:overflowPunct/>
        <w:topLinePunct w:val="0"/>
        <w:autoSpaceDE/>
        <w:autoSpaceDN/>
        <w:bidi w:val="0"/>
        <w:adjustRightInd/>
        <w:snapToGrid/>
        <w:spacing w:line="360" w:lineRule="auto"/>
        <w:ind w:firstLine="480"/>
        <w:textAlignment w:val="auto"/>
        <w:rPr>
          <w:rFonts w:hint="eastAsia" w:ascii="宋体" w:hAnsi="宋体" w:eastAsia="宋体"/>
          <w:bCs/>
          <w:color w:val="000000"/>
          <w:sz w:val="24"/>
          <w:szCs w:val="24"/>
          <w:lang w:val="en-US"/>
        </w:rPr>
      </w:pPr>
      <w:r>
        <w:rPr>
          <w:rFonts w:hint="eastAsia" w:ascii="宋体" w:hAnsi="宋体" w:eastAsia="宋体"/>
          <w:bCs/>
          <w:color w:val="000000"/>
          <w:sz w:val="24"/>
          <w:szCs w:val="24"/>
          <w:lang w:val="en-US"/>
        </w:rPr>
        <w:t>（四）</w:t>
      </w:r>
      <w:r>
        <w:rPr>
          <w:rFonts w:hint="eastAsia" w:ascii="宋体" w:hAnsi="宋体" w:eastAsia="宋体"/>
          <w:bCs/>
          <w:color w:val="000000"/>
          <w:sz w:val="24"/>
          <w:szCs w:val="24"/>
          <w:lang w:val="en-US" w:eastAsia="zh-CN"/>
        </w:rPr>
        <w:t>投标人</w:t>
      </w:r>
      <w:r>
        <w:rPr>
          <w:rFonts w:hint="eastAsia" w:ascii="宋体" w:hAnsi="宋体" w:eastAsia="宋体"/>
          <w:bCs/>
          <w:color w:val="000000"/>
          <w:sz w:val="24"/>
          <w:szCs w:val="24"/>
          <w:lang w:val="en-US"/>
        </w:rPr>
        <w:t>如有下列违约事项，</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可单方面终止合同，并承担给</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造成的相应的损失：</w:t>
      </w:r>
    </w:p>
    <w:p w14:paraId="7FB49884">
      <w:pPr>
        <w:keepNext w:val="0"/>
        <w:keepLines w:val="0"/>
        <w:pageBreakBefore w:val="0"/>
        <w:shd w:val="clear" w:color="auto" w:fill="FFFFFF"/>
        <w:kinsoku/>
        <w:wordWrap/>
        <w:overflowPunct/>
        <w:topLinePunct w:val="0"/>
        <w:autoSpaceDE/>
        <w:autoSpaceDN/>
        <w:bidi w:val="0"/>
        <w:adjustRightInd/>
        <w:snapToGrid/>
        <w:spacing w:line="360" w:lineRule="auto"/>
        <w:ind w:firstLine="480"/>
        <w:textAlignment w:val="auto"/>
        <w:rPr>
          <w:rFonts w:hint="default" w:ascii="宋体" w:hAnsi="宋体" w:eastAsia="宋体" w:cs="宋体"/>
          <w:b/>
          <w:bCs/>
          <w:color w:val="auto"/>
          <w:sz w:val="24"/>
          <w:szCs w:val="24"/>
          <w:lang w:eastAsia="zh-CN"/>
        </w:rPr>
      </w:pPr>
      <w:r>
        <w:rPr>
          <w:rFonts w:hint="eastAsia" w:ascii="宋体" w:hAnsi="宋体" w:eastAsia="宋体"/>
          <w:bCs/>
          <w:color w:val="000000"/>
          <w:sz w:val="24"/>
          <w:szCs w:val="24"/>
          <w:lang w:val="en-US"/>
        </w:rPr>
        <w:t>1、未经</w:t>
      </w:r>
      <w:r>
        <w:rPr>
          <w:rFonts w:hint="eastAsia" w:ascii="宋体" w:hAnsi="宋体" w:eastAsia="宋体"/>
          <w:bCs/>
          <w:color w:val="000000"/>
          <w:sz w:val="24"/>
          <w:szCs w:val="24"/>
          <w:lang w:val="en-US" w:eastAsia="zh-CN"/>
        </w:rPr>
        <w:t>招标人</w:t>
      </w:r>
      <w:r>
        <w:rPr>
          <w:rFonts w:hint="eastAsia" w:ascii="宋体" w:hAnsi="宋体" w:eastAsia="宋体"/>
          <w:bCs/>
          <w:color w:val="000000"/>
          <w:sz w:val="24"/>
          <w:szCs w:val="24"/>
          <w:lang w:val="en-US"/>
        </w:rPr>
        <w:t>同意擅自停业；</w:t>
      </w:r>
      <w:r>
        <w:rPr>
          <w:rFonts w:hint="eastAsia" w:ascii="宋体" w:hAnsi="宋体" w:eastAsia="宋体"/>
          <w:bCs/>
          <w:color w:val="000000"/>
          <w:sz w:val="24"/>
          <w:szCs w:val="24"/>
          <w:lang w:val="en-US"/>
        </w:rPr>
        <w:br w:type="textWrapping"/>
      </w:r>
      <w:r>
        <w:rPr>
          <w:rFonts w:hint="eastAsia" w:ascii="宋体" w:hAnsi="宋体" w:eastAsia="宋体"/>
          <w:bCs/>
          <w:color w:val="000000"/>
          <w:sz w:val="24"/>
          <w:szCs w:val="24"/>
          <w:lang w:val="en-US"/>
        </w:rPr>
        <w:t xml:space="preserve">    </w:t>
      </w:r>
      <w:r>
        <w:rPr>
          <w:rFonts w:ascii="宋体" w:hAnsi="宋体" w:eastAsia="宋体"/>
          <w:bCs/>
          <w:color w:val="000000"/>
          <w:sz w:val="24"/>
          <w:szCs w:val="24"/>
          <w:lang w:val="en-US"/>
        </w:rPr>
        <w:t>2</w:t>
      </w:r>
      <w:r>
        <w:rPr>
          <w:rFonts w:hint="eastAsia" w:ascii="宋体" w:hAnsi="宋体" w:eastAsia="宋体"/>
          <w:bCs/>
          <w:color w:val="000000"/>
          <w:sz w:val="24"/>
          <w:szCs w:val="24"/>
          <w:lang w:val="en-US"/>
        </w:rPr>
        <w:t>、服务场所内发生重大医疗事故；</w:t>
      </w:r>
      <w:r>
        <w:rPr>
          <w:rFonts w:hint="eastAsia" w:ascii="宋体" w:hAnsi="宋体" w:eastAsia="宋体"/>
          <w:bCs/>
          <w:color w:val="000000"/>
          <w:sz w:val="24"/>
          <w:szCs w:val="24"/>
          <w:lang w:val="en-US"/>
        </w:rPr>
        <w:br w:type="textWrapping"/>
      </w:r>
      <w:r>
        <w:rPr>
          <w:rFonts w:hint="eastAsia" w:ascii="宋体" w:hAnsi="宋体" w:eastAsia="宋体"/>
          <w:bCs/>
          <w:color w:val="000000"/>
          <w:sz w:val="24"/>
          <w:szCs w:val="24"/>
          <w:lang w:val="en-US"/>
        </w:rPr>
        <w:t xml:space="preserve">    </w:t>
      </w:r>
      <w:r>
        <w:rPr>
          <w:rFonts w:ascii="宋体" w:hAnsi="宋体" w:eastAsia="宋体"/>
          <w:bCs/>
          <w:color w:val="000000"/>
          <w:sz w:val="24"/>
          <w:szCs w:val="24"/>
          <w:lang w:val="en-US"/>
        </w:rPr>
        <w:t>3</w:t>
      </w:r>
      <w:r>
        <w:rPr>
          <w:rFonts w:hint="eastAsia" w:ascii="宋体" w:hAnsi="宋体" w:eastAsia="宋体"/>
          <w:bCs/>
          <w:color w:val="000000"/>
          <w:sz w:val="24"/>
          <w:szCs w:val="24"/>
          <w:lang w:val="en-US"/>
        </w:rPr>
        <w:t>、中途转包、分包、转让、转租、分租。</w:t>
      </w:r>
    </w:p>
    <w:p w14:paraId="7893EBB3">
      <w:r>
        <w:rPr>
          <w:rFonts w:hint="eastAsia"/>
        </w:rPr>
        <w:br w:type="page"/>
      </w:r>
    </w:p>
    <w:p w14:paraId="14B11130">
      <w:pPr>
        <w:pStyle w:val="24"/>
        <w:numPr>
          <w:ilvl w:val="255"/>
          <w:numId w:val="0"/>
        </w:numPr>
        <w:spacing w:after="120"/>
        <w:jc w:val="center"/>
        <w:rPr>
          <w:rFonts w:ascii="黑体" w:hAnsi="黑体" w:eastAsia="黑体" w:cs="黑体"/>
          <w:color w:val="000000" w:themeColor="text1"/>
          <w:kern w:val="44"/>
          <w:sz w:val="36"/>
          <w:szCs w:val="36"/>
          <w:u w:color="000000"/>
          <w:lang w:val="zh-TW"/>
          <w14:textFill>
            <w14:solidFill>
              <w14:schemeClr w14:val="tx1"/>
            </w14:solidFill>
          </w14:textFill>
        </w:rPr>
      </w:pPr>
      <w:r>
        <w:rPr>
          <w:rFonts w:ascii="黑体" w:hAnsi="黑体" w:eastAsia="黑体" w:cs="黑体"/>
          <w:color w:val="000000" w:themeColor="text1"/>
          <w:kern w:val="44"/>
          <w:sz w:val="36"/>
          <w:szCs w:val="36"/>
          <w:u w:color="000000"/>
          <w:lang w:val="zh-TW"/>
          <w14:textFill>
            <w14:solidFill>
              <w14:schemeClr w14:val="tx1"/>
            </w14:solidFill>
          </w14:textFill>
        </w:rPr>
        <w:t>第</w:t>
      </w:r>
      <w:r>
        <w:rPr>
          <w:rFonts w:hint="eastAsia" w:ascii="黑体" w:hAnsi="黑体" w:eastAsia="黑体" w:cs="黑体"/>
          <w:color w:val="000000" w:themeColor="text1"/>
          <w:kern w:val="44"/>
          <w:sz w:val="36"/>
          <w:szCs w:val="36"/>
          <w:u w:color="000000"/>
          <w:lang w:val="zh-TW"/>
          <w14:textFill>
            <w14:solidFill>
              <w14:schemeClr w14:val="tx1"/>
            </w14:solidFill>
          </w14:textFill>
        </w:rPr>
        <w:t>五</w:t>
      </w:r>
      <w:r>
        <w:rPr>
          <w:rFonts w:ascii="黑体" w:hAnsi="黑体" w:eastAsia="黑体" w:cs="黑体"/>
          <w:color w:val="000000" w:themeColor="text1"/>
          <w:kern w:val="44"/>
          <w:sz w:val="36"/>
          <w:szCs w:val="36"/>
          <w:u w:color="000000"/>
          <w:lang w:val="zh-TW"/>
          <w14:textFill>
            <w14:solidFill>
              <w14:schemeClr w14:val="tx1"/>
            </w14:solidFill>
          </w14:textFill>
        </w:rPr>
        <w:t xml:space="preserve">章  </w:t>
      </w:r>
      <w:r>
        <w:rPr>
          <w:rFonts w:hint="eastAsia" w:ascii="黑体" w:hAnsi="黑体" w:eastAsia="黑体" w:cs="黑体"/>
          <w:color w:val="000000" w:themeColor="text1"/>
          <w:kern w:val="44"/>
          <w:sz w:val="36"/>
          <w:szCs w:val="36"/>
          <w:u w:color="000000"/>
          <w:lang w:val="zh-TW"/>
          <w14:textFill>
            <w14:solidFill>
              <w14:schemeClr w14:val="tx1"/>
            </w14:solidFill>
          </w14:textFill>
        </w:rPr>
        <w:t>评标方法与评标标准</w:t>
      </w:r>
      <w:bookmarkEnd w:id="48"/>
    </w:p>
    <w:p w14:paraId="074F01BC">
      <w:pPr>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bookmarkStart w:id="50" w:name="_Toc26554093"/>
      <w:bookmarkStart w:id="51" w:name="_Toc120614281"/>
      <w:bookmarkStart w:id="52" w:name="_Toc49090575"/>
      <w:r>
        <w:rPr>
          <w:rFonts w:ascii="Times New Roman" w:hAnsi="Times New Roman" w:cs="Times New Roman"/>
          <w:b/>
          <w:color w:val="000000" w:themeColor="text1"/>
          <w:sz w:val="24"/>
          <w:szCs w:val="24"/>
          <w14:textFill>
            <w14:solidFill>
              <w14:schemeClr w14:val="tx1"/>
            </w14:solidFill>
          </w14:textFill>
        </w:rPr>
        <w:t>一、评标方法与定标原则</w:t>
      </w:r>
    </w:p>
    <w:p w14:paraId="145B20BE">
      <w:pPr>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评标工作组将对确定为实质性响应</w:t>
      </w:r>
      <w:r>
        <w:rPr>
          <w:rFonts w:hint="eastAsia" w:ascii="Times New Roman" w:hAnsi="Times New Roman" w:cs="Times New Roman"/>
          <w:bCs/>
          <w:color w:val="000000" w:themeColor="text1"/>
          <w:sz w:val="24"/>
          <w:szCs w:val="24"/>
          <w14:textFill>
            <w14:solidFill>
              <w14:schemeClr w14:val="tx1"/>
            </w14:solidFill>
          </w14:textFill>
        </w:rPr>
        <w:t>招标</w:t>
      </w:r>
      <w:r>
        <w:rPr>
          <w:rFonts w:ascii="Times New Roman" w:hAnsi="Times New Roman" w:cs="Times New Roman"/>
          <w:bCs/>
          <w:color w:val="000000" w:themeColor="text1"/>
          <w:sz w:val="24"/>
          <w:szCs w:val="24"/>
          <w14:textFill>
            <w14:solidFill>
              <w14:schemeClr w14:val="tx1"/>
            </w14:solidFill>
          </w14:textFill>
        </w:rPr>
        <w:t>文件要求的投标文件进行评价和比较，评标采用综合评分法。对未中标人，将不</w:t>
      </w:r>
      <w:r>
        <w:rPr>
          <w:rFonts w:hint="eastAsia" w:ascii="Times New Roman" w:hAnsi="Times New Roman" w:cs="Times New Roman"/>
          <w:bCs/>
          <w:color w:val="000000" w:themeColor="text1"/>
          <w:sz w:val="24"/>
          <w:szCs w:val="24"/>
          <w:lang w:eastAsia="zh-CN"/>
          <w14:textFill>
            <w14:solidFill>
              <w14:schemeClr w14:val="tx1"/>
            </w14:solidFill>
          </w14:textFill>
        </w:rPr>
        <w:t>做任何解释</w:t>
      </w:r>
      <w:r>
        <w:rPr>
          <w:rFonts w:ascii="Times New Roman" w:hAnsi="Times New Roman" w:cs="Times New Roman"/>
          <w:bCs/>
          <w:color w:val="000000" w:themeColor="text1"/>
          <w:sz w:val="24"/>
          <w:szCs w:val="24"/>
          <w14:textFill>
            <w14:solidFill>
              <w14:schemeClr w14:val="tx1"/>
            </w14:solidFill>
          </w14:textFill>
        </w:rPr>
        <w:t>。</w:t>
      </w:r>
    </w:p>
    <w:p w14:paraId="416BB1F1">
      <w:pPr>
        <w:spacing w:line="360" w:lineRule="auto"/>
        <w:ind w:firstLine="480" w:firstLineChars="20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采用综合评分法的，按评审后得分由高到低顺序排列。得分相同的，按投标报价由低到高顺序排列。得分且投标报价相同的，按技术指标优劣顺序排列。</w:t>
      </w:r>
    </w:p>
    <w:p w14:paraId="4BB48DBC">
      <w:pPr>
        <w:numPr>
          <w:ilvl w:val="0"/>
          <w:numId w:val="4"/>
        </w:numPr>
        <w:spacing w:line="360" w:lineRule="auto"/>
        <w:ind w:firstLine="482" w:firstLineChars="200"/>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评标标准</w:t>
      </w:r>
      <w:bookmarkEnd w:id="50"/>
      <w:bookmarkEnd w:id="51"/>
      <w:bookmarkEnd w:id="52"/>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1260"/>
        <w:gridCol w:w="6195"/>
        <w:gridCol w:w="706"/>
      </w:tblGrid>
      <w:tr w14:paraId="6A2B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465" w:type="pct"/>
            <w:tcBorders>
              <w:top w:val="single" w:color="auto" w:sz="4" w:space="0"/>
              <w:left w:val="single" w:color="auto" w:sz="4" w:space="0"/>
              <w:bottom w:val="single" w:color="auto" w:sz="4" w:space="0"/>
              <w:right w:val="single" w:color="auto" w:sz="4" w:space="0"/>
            </w:tcBorders>
            <w:noWrap w:val="0"/>
            <w:vAlign w:val="center"/>
          </w:tcPr>
          <w:p w14:paraId="241E897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700" w:type="pct"/>
            <w:tcBorders>
              <w:top w:val="single" w:color="auto" w:sz="4" w:space="0"/>
              <w:left w:val="single" w:color="auto" w:sz="4" w:space="0"/>
              <w:bottom w:val="single" w:color="auto" w:sz="4" w:space="0"/>
              <w:right w:val="single" w:color="auto" w:sz="4" w:space="0"/>
            </w:tcBorders>
            <w:noWrap w:val="0"/>
            <w:vAlign w:val="center"/>
          </w:tcPr>
          <w:p w14:paraId="4DE9B2D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评分因素</w:t>
            </w:r>
          </w:p>
        </w:tc>
        <w:tc>
          <w:tcPr>
            <w:tcW w:w="3441" w:type="pct"/>
            <w:tcBorders>
              <w:top w:val="single" w:color="auto" w:sz="4" w:space="0"/>
              <w:left w:val="single" w:color="auto" w:sz="4" w:space="0"/>
              <w:bottom w:val="single" w:color="auto" w:sz="4" w:space="0"/>
              <w:right w:val="single" w:color="auto" w:sz="4" w:space="0"/>
            </w:tcBorders>
            <w:noWrap w:val="0"/>
            <w:vAlign w:val="center"/>
          </w:tcPr>
          <w:p w14:paraId="53279FE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评审标准</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4286F97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r>
      <w:tr w14:paraId="1D77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jc w:val="center"/>
        </w:trPr>
        <w:tc>
          <w:tcPr>
            <w:tcW w:w="465" w:type="pct"/>
            <w:tcBorders>
              <w:top w:val="single" w:color="auto" w:sz="4" w:space="0"/>
              <w:left w:val="single" w:color="auto" w:sz="4" w:space="0"/>
              <w:bottom w:val="single" w:color="auto" w:sz="4" w:space="0"/>
              <w:right w:val="single" w:color="auto" w:sz="4" w:space="0"/>
            </w:tcBorders>
            <w:noWrap w:val="0"/>
            <w:vAlign w:val="center"/>
          </w:tcPr>
          <w:p w14:paraId="1151A47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700" w:type="pct"/>
            <w:tcBorders>
              <w:top w:val="single" w:color="auto" w:sz="4" w:space="0"/>
              <w:left w:val="single" w:color="auto" w:sz="4" w:space="0"/>
              <w:right w:val="single" w:color="auto" w:sz="4" w:space="0"/>
            </w:tcBorders>
            <w:noWrap w:val="0"/>
            <w:vAlign w:val="center"/>
          </w:tcPr>
          <w:p w14:paraId="6EF3C06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价格分</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20</w:t>
            </w:r>
            <w:r>
              <w:rPr>
                <w:rFonts w:hint="eastAsia" w:asciiTheme="minorEastAsia" w:hAnsiTheme="minorEastAsia" w:eastAsiaTheme="minorEastAsia" w:cstheme="minorEastAsia"/>
                <w:kern w:val="0"/>
                <w:sz w:val="24"/>
                <w:szCs w:val="24"/>
              </w:rPr>
              <w:t>分）</w:t>
            </w:r>
          </w:p>
        </w:tc>
        <w:tc>
          <w:tcPr>
            <w:tcW w:w="3441" w:type="pct"/>
            <w:tcBorders>
              <w:top w:val="single" w:color="auto" w:sz="4" w:space="0"/>
              <w:left w:val="single" w:color="auto" w:sz="4" w:space="0"/>
              <w:bottom w:val="single" w:color="auto" w:sz="4" w:space="0"/>
              <w:right w:val="single" w:color="auto" w:sz="4" w:space="0"/>
            </w:tcBorders>
            <w:noWrap w:val="0"/>
            <w:vAlign w:val="center"/>
          </w:tcPr>
          <w:p w14:paraId="34F42D10">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bCs/>
                <w:sz w:val="24"/>
                <w:szCs w:val="24"/>
              </w:rPr>
              <w:t>价格分采用低价优先法计算，即满足采购文件要求且投标价格最低的</w:t>
            </w:r>
            <w:r>
              <w:rPr>
                <w:rFonts w:hint="eastAsia" w:asciiTheme="minorEastAsia" w:hAnsiTheme="minorEastAsia" w:cstheme="minorEastAsia"/>
                <w:bCs/>
                <w:sz w:val="24"/>
                <w:szCs w:val="24"/>
                <w:lang w:eastAsia="zh-CN"/>
              </w:rPr>
              <w:t>投标人</w:t>
            </w:r>
            <w:r>
              <w:rPr>
                <w:rFonts w:hint="eastAsia" w:asciiTheme="minorEastAsia" w:hAnsiTheme="minorEastAsia" w:eastAsiaTheme="minorEastAsia" w:cstheme="minorEastAsia"/>
                <w:bCs/>
                <w:sz w:val="24"/>
                <w:szCs w:val="24"/>
              </w:rPr>
              <w:t>投标报价为评标基准价，其价格分为满分</w:t>
            </w:r>
            <w:r>
              <w:rPr>
                <w:rFonts w:hint="eastAsia" w:asciiTheme="minorEastAsia" w:hAnsiTheme="minorEastAsia" w:cstheme="minorEastAsia"/>
                <w:bCs/>
                <w:sz w:val="24"/>
                <w:szCs w:val="24"/>
                <w:lang w:val="en-US" w:eastAsia="zh-CN"/>
              </w:rPr>
              <w:t>20</w:t>
            </w:r>
            <w:r>
              <w:rPr>
                <w:rFonts w:hint="eastAsia" w:asciiTheme="minorEastAsia" w:hAnsiTheme="minorEastAsia" w:eastAsiaTheme="minorEastAsia" w:cstheme="minorEastAsia"/>
                <w:bCs/>
                <w:sz w:val="24"/>
                <w:szCs w:val="24"/>
              </w:rPr>
              <w:t>分，</w:t>
            </w:r>
            <w:r>
              <w:rPr>
                <w:rFonts w:hint="eastAsia" w:asciiTheme="minorEastAsia" w:hAnsiTheme="minorEastAsia" w:cstheme="minorEastAsia"/>
                <w:bCs/>
                <w:sz w:val="24"/>
                <w:szCs w:val="24"/>
                <w:lang w:eastAsia="zh-CN"/>
              </w:rPr>
              <w:t>其他</w:t>
            </w:r>
            <w:r>
              <w:rPr>
                <w:rFonts w:hint="eastAsia" w:asciiTheme="minorEastAsia" w:hAnsiTheme="minorEastAsia" w:eastAsiaTheme="minorEastAsia" w:cstheme="minorEastAsia"/>
                <w:bCs/>
                <w:sz w:val="24"/>
                <w:szCs w:val="24"/>
              </w:rPr>
              <w:t>投标人的价格分统一按照以下公式计算：</w:t>
            </w:r>
          </w:p>
          <w:p w14:paraId="59E98185">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投标报价得分=（评标基准价/该投标人的投标报价）×</w:t>
            </w:r>
            <w:r>
              <w:rPr>
                <w:rFonts w:hint="eastAsia" w:asciiTheme="minorEastAsia" w:hAnsiTheme="minorEastAsia" w:eastAsiaTheme="minorEastAsia" w:cstheme="minorEastAsia"/>
                <w:bCs/>
                <w:sz w:val="24"/>
                <w:szCs w:val="24"/>
                <w:lang w:val="en-US" w:eastAsia="zh-CN"/>
              </w:rPr>
              <w:t>20</w:t>
            </w:r>
            <w:r>
              <w:rPr>
                <w:rFonts w:hint="eastAsia" w:asciiTheme="minorEastAsia" w:hAnsiTheme="minorEastAsia" w:eastAsiaTheme="minorEastAsia" w:cstheme="minorEastAsia"/>
                <w:bCs/>
                <w:sz w:val="24"/>
                <w:szCs w:val="24"/>
              </w:rPr>
              <w:t>分。分值保留小数点后2位。</w:t>
            </w:r>
          </w:p>
          <w:p w14:paraId="11318F11">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政府采购评审中出现下列情形之一的，评审委员会应当启动异常低价响应审查程序：</w:t>
            </w:r>
          </w:p>
          <w:p w14:paraId="24CB6590">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（1）响应报价低于全部通过符合性审查供应商响应报价平均值50%的，即响应报价</w:t>
            </w:r>
            <w:r>
              <w:rPr>
                <w:rFonts w:hint="eastAsia" w:asciiTheme="minorEastAsia" w:hAnsiTheme="minorEastAsia" w:cstheme="minorEastAsia"/>
                <w:bCs/>
                <w:sz w:val="24"/>
                <w:szCs w:val="24"/>
                <w:lang w:eastAsia="zh-CN"/>
              </w:rPr>
              <w:t>&lt;</w:t>
            </w:r>
            <w:r>
              <w:rPr>
                <w:rFonts w:hint="eastAsia" w:asciiTheme="minorEastAsia" w:hAnsiTheme="minorEastAsia" w:eastAsiaTheme="minorEastAsia" w:cstheme="minorEastAsia"/>
                <w:bCs/>
                <w:sz w:val="24"/>
                <w:szCs w:val="24"/>
              </w:rPr>
              <w:t xml:space="preserve">全部通过符合性审查供应商响应报价平均值×50%； </w:t>
            </w:r>
          </w:p>
          <w:p w14:paraId="538072C2">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（2）响应报价低于通过符合性审查的次低报价供应商响应报价50%的，即响应报价&lt;通过符合性审查的次低报价供应商响应报价×50%； </w:t>
            </w:r>
          </w:p>
          <w:p w14:paraId="657117D3">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（3）响应报价低于采购项目最高限价45%的，即响应报价&lt;采购项目最高限价×45%； </w:t>
            </w:r>
          </w:p>
          <w:p w14:paraId="5FA9B35F">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（4）评审委员会基于专业判断，认为供应商报价过低，有可能影响产品质量或者不能诚信履约的其他情形。</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7A136B1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20</w:t>
            </w:r>
          </w:p>
        </w:tc>
      </w:tr>
      <w:tr w14:paraId="1D42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465" w:type="pct"/>
            <w:vMerge w:val="restart"/>
            <w:tcBorders>
              <w:top w:val="single" w:color="auto" w:sz="4" w:space="0"/>
              <w:left w:val="single" w:color="auto" w:sz="4" w:space="0"/>
              <w:right w:val="single" w:color="auto" w:sz="4" w:space="0"/>
            </w:tcBorders>
            <w:noWrap w:val="0"/>
            <w:vAlign w:val="center"/>
          </w:tcPr>
          <w:p w14:paraId="0430698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700" w:type="pct"/>
            <w:vMerge w:val="restart"/>
            <w:tcBorders>
              <w:top w:val="single" w:color="auto" w:sz="4" w:space="0"/>
              <w:left w:val="single" w:color="auto" w:sz="4" w:space="0"/>
              <w:right w:val="single" w:color="auto" w:sz="4" w:space="0"/>
            </w:tcBorders>
            <w:noWrap w:val="0"/>
            <w:vAlign w:val="center"/>
          </w:tcPr>
          <w:p w14:paraId="7010200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p w14:paraId="1C4BDCD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p w14:paraId="1C38695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p w14:paraId="0F59A44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p w14:paraId="77D4A20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服务方案</w:t>
            </w:r>
          </w:p>
          <w:p w14:paraId="2B0959A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48</w:t>
            </w:r>
            <w:r>
              <w:rPr>
                <w:rFonts w:hint="eastAsia" w:asciiTheme="minorEastAsia" w:hAnsiTheme="minorEastAsia" w:eastAsiaTheme="minorEastAsia" w:cstheme="minorEastAsia"/>
                <w:sz w:val="24"/>
                <w:szCs w:val="24"/>
              </w:rPr>
              <w:t>分）</w:t>
            </w:r>
          </w:p>
          <w:p w14:paraId="75889B3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p w14:paraId="548BA4D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3441" w:type="pct"/>
            <w:tcBorders>
              <w:top w:val="single" w:color="auto" w:sz="4" w:space="0"/>
              <w:left w:val="single" w:color="auto" w:sz="4" w:space="0"/>
              <w:bottom w:val="single" w:color="auto" w:sz="4" w:space="0"/>
              <w:right w:val="single" w:color="auto" w:sz="4" w:space="0"/>
            </w:tcBorders>
            <w:noWrap w:val="0"/>
            <w:vAlign w:val="center"/>
          </w:tcPr>
          <w:p w14:paraId="54A96447">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2.1总体实施方案</w:t>
            </w:r>
          </w:p>
          <w:p w14:paraId="5704B53D">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投标人应根据招标文件要求提供具体详实的</w:t>
            </w:r>
            <w:r>
              <w:rPr>
                <w:rFonts w:hint="eastAsia" w:asciiTheme="minorEastAsia" w:hAnsiTheme="minorEastAsia" w:eastAsiaTheme="minorEastAsia" w:cstheme="minorEastAsia"/>
                <w:bCs/>
                <w:sz w:val="24"/>
                <w:szCs w:val="24"/>
              </w:rPr>
              <w:t>总体实施方案。</w:t>
            </w:r>
            <w:r>
              <w:rPr>
                <w:rFonts w:hint="eastAsia" w:asciiTheme="minorEastAsia" w:hAnsiTheme="minorEastAsia" w:cstheme="minorEastAsia"/>
                <w:bCs/>
                <w:sz w:val="24"/>
                <w:szCs w:val="24"/>
                <w:lang w:eastAsia="zh-CN"/>
              </w:rPr>
              <w:t>包括但不限于</w:t>
            </w:r>
            <w:r>
              <w:rPr>
                <w:rFonts w:hint="eastAsia" w:asciiTheme="minorEastAsia" w:hAnsiTheme="minorEastAsia" w:eastAsiaTheme="minorEastAsia" w:cstheme="minorEastAsia"/>
                <w:sz w:val="24"/>
                <w:szCs w:val="24"/>
              </w:rPr>
              <w:t>医务室管理工作安排、医务室卫生消毒管理、医用废弃物处理等工作的实施。</w:t>
            </w:r>
          </w:p>
          <w:p w14:paraId="24DD8A22">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bidi="ar"/>
              </w:rPr>
              <w:t>方案全面、科学合理、可行性强的，得</w:t>
            </w:r>
            <w:r>
              <w:rPr>
                <w:rFonts w:hint="eastAsia" w:asciiTheme="minorEastAsia" w:hAnsiTheme="minorEastAsia" w:eastAsiaTheme="minorEastAsia" w:cstheme="minorEastAsia"/>
                <w:kern w:val="0"/>
                <w:sz w:val="24"/>
                <w:szCs w:val="24"/>
                <w:lang w:val="en-US" w:eastAsia="zh-CN" w:bidi="ar"/>
              </w:rPr>
              <w:t>8</w:t>
            </w:r>
            <w:r>
              <w:rPr>
                <w:rFonts w:hint="eastAsia" w:asciiTheme="minorEastAsia" w:hAnsiTheme="minorEastAsia" w:eastAsiaTheme="minorEastAsia" w:cstheme="minorEastAsia"/>
                <w:kern w:val="0"/>
                <w:sz w:val="24"/>
                <w:szCs w:val="24"/>
                <w:lang w:bidi="ar"/>
              </w:rPr>
              <w:t>分；方案较为全面、较为科学合理、可行性较强的，得5分；方案略有欠缺，可行性还需完善的，得2分；不提供不得分。</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0C412DC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r>
      <w:tr w14:paraId="05EC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2" w:hRule="atLeast"/>
          <w:jc w:val="center"/>
        </w:trPr>
        <w:tc>
          <w:tcPr>
            <w:tcW w:w="465" w:type="pct"/>
            <w:vMerge w:val="continue"/>
            <w:tcBorders>
              <w:left w:val="single" w:color="auto" w:sz="4" w:space="0"/>
              <w:right w:val="single" w:color="auto" w:sz="4" w:space="0"/>
            </w:tcBorders>
            <w:noWrap w:val="0"/>
            <w:vAlign w:val="center"/>
          </w:tcPr>
          <w:p w14:paraId="2523179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700" w:type="pct"/>
            <w:vMerge w:val="continue"/>
            <w:tcBorders>
              <w:left w:val="single" w:color="auto" w:sz="4" w:space="0"/>
              <w:right w:val="single" w:color="auto" w:sz="4" w:space="0"/>
            </w:tcBorders>
            <w:noWrap w:val="0"/>
            <w:vAlign w:val="center"/>
          </w:tcPr>
          <w:p w14:paraId="796418F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3441" w:type="pct"/>
            <w:tcBorders>
              <w:top w:val="single" w:color="auto" w:sz="4" w:space="0"/>
              <w:left w:val="single" w:color="auto" w:sz="4" w:space="0"/>
              <w:bottom w:val="single" w:color="auto" w:sz="4" w:space="0"/>
              <w:right w:val="single" w:color="auto" w:sz="4" w:space="0"/>
            </w:tcBorders>
            <w:noWrap w:val="0"/>
            <w:vAlign w:val="center"/>
          </w:tcPr>
          <w:p w14:paraId="38EB1538">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2.2学生的入学体检工作方案</w:t>
            </w:r>
          </w:p>
          <w:p w14:paraId="582F59C7">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投标人应制订</w:t>
            </w:r>
            <w:r>
              <w:rPr>
                <w:rFonts w:hint="eastAsia" w:asciiTheme="minorEastAsia" w:hAnsiTheme="minorEastAsia" w:eastAsiaTheme="minorEastAsia" w:cstheme="minorEastAsia"/>
                <w:iCs/>
                <w:sz w:val="24"/>
                <w:szCs w:val="24"/>
              </w:rPr>
              <w:t>学生的入学体检工作方案</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包括但不限于</w:t>
            </w:r>
            <w:r>
              <w:rPr>
                <w:rFonts w:hint="eastAsia" w:asciiTheme="minorEastAsia" w:hAnsiTheme="minorEastAsia" w:eastAsiaTheme="minorEastAsia" w:cstheme="minorEastAsia"/>
                <w:sz w:val="24"/>
                <w:szCs w:val="24"/>
              </w:rPr>
              <w:t>体检医务人员组织、医疗咨询、体检所需设备仪器、体检异常数据反馈、体检健康档案建立等。</w:t>
            </w:r>
          </w:p>
          <w:p w14:paraId="71906353">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kern w:val="0"/>
                <w:sz w:val="24"/>
                <w:szCs w:val="24"/>
                <w:lang w:bidi="ar"/>
              </w:rPr>
              <w:t>方案全面、组织安排合理、可行性强的，得</w:t>
            </w:r>
            <w:r>
              <w:rPr>
                <w:rFonts w:hint="eastAsia" w:asciiTheme="minorEastAsia" w:hAnsiTheme="minorEastAsia" w:eastAsiaTheme="minorEastAsia" w:cstheme="minorEastAsia"/>
                <w:kern w:val="0"/>
                <w:sz w:val="24"/>
                <w:szCs w:val="24"/>
                <w:lang w:val="en-US" w:eastAsia="zh-CN" w:bidi="ar"/>
              </w:rPr>
              <w:t>8</w:t>
            </w:r>
            <w:r>
              <w:rPr>
                <w:rFonts w:hint="eastAsia" w:asciiTheme="minorEastAsia" w:hAnsiTheme="minorEastAsia" w:eastAsiaTheme="minorEastAsia" w:cstheme="minorEastAsia"/>
                <w:kern w:val="0"/>
                <w:sz w:val="24"/>
                <w:szCs w:val="24"/>
                <w:lang w:bidi="ar"/>
              </w:rPr>
              <w:t>分；方案较为全面、较为组织合理、可行性较强的，得5分；方案略有欠缺，可行性还需完善的，得2分；不提供不得分。</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703B7D3A">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r>
      <w:tr w14:paraId="2BC3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5" w:hRule="atLeast"/>
          <w:jc w:val="center"/>
        </w:trPr>
        <w:tc>
          <w:tcPr>
            <w:tcW w:w="465" w:type="pct"/>
            <w:vMerge w:val="continue"/>
            <w:tcBorders>
              <w:left w:val="single" w:color="auto" w:sz="4" w:space="0"/>
              <w:right w:val="single" w:color="auto" w:sz="4" w:space="0"/>
            </w:tcBorders>
            <w:noWrap w:val="0"/>
            <w:vAlign w:val="center"/>
          </w:tcPr>
          <w:p w14:paraId="0F06C20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700" w:type="pct"/>
            <w:vMerge w:val="continue"/>
            <w:tcBorders>
              <w:left w:val="single" w:color="auto" w:sz="4" w:space="0"/>
              <w:right w:val="single" w:color="auto" w:sz="4" w:space="0"/>
            </w:tcBorders>
            <w:noWrap w:val="0"/>
            <w:vAlign w:val="center"/>
          </w:tcPr>
          <w:p w14:paraId="1D185D6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3441" w:type="pct"/>
            <w:tcBorders>
              <w:top w:val="single" w:color="auto" w:sz="4" w:space="0"/>
              <w:left w:val="single" w:color="auto" w:sz="4" w:space="0"/>
              <w:bottom w:val="single" w:color="auto" w:sz="4" w:space="0"/>
              <w:right w:val="single" w:color="auto" w:sz="4" w:space="0"/>
            </w:tcBorders>
            <w:noWrap w:val="0"/>
            <w:vAlign w:val="center"/>
          </w:tcPr>
          <w:p w14:paraId="145049AE">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2.3校内医疗应急服务方案</w:t>
            </w:r>
          </w:p>
          <w:p w14:paraId="12870780">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投标人应针对本项目特点，制订校内医疗应急服务方案，围绕项目实施全流程，涵盖风险预判、应急响应机制、标准化处置流程及善后保障措施等核心要素。</w:t>
            </w:r>
            <w:r>
              <w:rPr>
                <w:rFonts w:hint="eastAsia" w:asciiTheme="minorEastAsia" w:hAnsiTheme="minorEastAsia" w:cstheme="minorEastAsia"/>
                <w:bCs/>
                <w:sz w:val="24"/>
                <w:szCs w:val="24"/>
                <w:lang w:eastAsia="zh-CN"/>
              </w:rPr>
              <w:t>包括但不限于</w:t>
            </w:r>
            <w:r>
              <w:rPr>
                <w:rFonts w:hint="eastAsia" w:asciiTheme="minorEastAsia" w:hAnsiTheme="minorEastAsia" w:eastAsiaTheme="minorEastAsia" w:cstheme="minorEastAsia"/>
                <w:bCs/>
                <w:sz w:val="24"/>
                <w:szCs w:val="24"/>
              </w:rPr>
              <w:t>托管服务过程中出现的</w:t>
            </w:r>
            <w:r>
              <w:rPr>
                <w:rFonts w:hint="eastAsia" w:asciiTheme="minorEastAsia" w:hAnsiTheme="minorEastAsia" w:eastAsiaTheme="minorEastAsia" w:cstheme="minorEastAsia"/>
                <w:iCs/>
                <w:sz w:val="24"/>
                <w:szCs w:val="24"/>
              </w:rPr>
              <w:t>急、重症病人抢救与转诊、传染病突发、食物中毒、公共卫生突发事件对应措施</w:t>
            </w:r>
            <w:r>
              <w:rPr>
                <w:rFonts w:hint="eastAsia" w:asciiTheme="minorEastAsia" w:hAnsiTheme="minorEastAsia" w:eastAsiaTheme="minorEastAsia" w:cstheme="minorEastAsia"/>
                <w:bCs/>
                <w:sz w:val="24"/>
                <w:szCs w:val="24"/>
              </w:rPr>
              <w:t>、医疗事故处理、突发事件人员调动及响应时间、</w:t>
            </w:r>
            <w:r>
              <w:rPr>
                <w:rFonts w:hint="eastAsia" w:asciiTheme="minorEastAsia" w:hAnsiTheme="minorEastAsia" w:eastAsiaTheme="minorEastAsia" w:cstheme="minorEastAsia"/>
                <w:iCs/>
                <w:sz w:val="24"/>
                <w:szCs w:val="24"/>
              </w:rPr>
              <w:t>大病就医绿色通道建立</w:t>
            </w:r>
            <w:r>
              <w:rPr>
                <w:rFonts w:hint="eastAsia" w:asciiTheme="minorEastAsia" w:hAnsiTheme="minorEastAsia" w:eastAsiaTheme="minorEastAsia" w:cstheme="minorEastAsia"/>
                <w:bCs/>
                <w:sz w:val="24"/>
                <w:szCs w:val="24"/>
              </w:rPr>
              <w:t>等。</w:t>
            </w:r>
          </w:p>
          <w:p w14:paraId="3BDEC67B">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bidi="ar"/>
              </w:rPr>
              <w:t>方案全面、科学合理、可行性强的，得</w:t>
            </w:r>
            <w:r>
              <w:rPr>
                <w:rFonts w:hint="eastAsia" w:asciiTheme="minorEastAsia" w:hAnsiTheme="minorEastAsia" w:eastAsiaTheme="minorEastAsia" w:cstheme="minorEastAsia"/>
                <w:kern w:val="0"/>
                <w:sz w:val="24"/>
                <w:szCs w:val="24"/>
                <w:lang w:val="en-US" w:eastAsia="zh-CN" w:bidi="ar"/>
              </w:rPr>
              <w:t>8</w:t>
            </w:r>
            <w:r>
              <w:rPr>
                <w:rFonts w:hint="eastAsia" w:asciiTheme="minorEastAsia" w:hAnsiTheme="minorEastAsia" w:eastAsiaTheme="minorEastAsia" w:cstheme="minorEastAsia"/>
                <w:kern w:val="0"/>
                <w:sz w:val="24"/>
                <w:szCs w:val="24"/>
                <w:lang w:bidi="ar"/>
              </w:rPr>
              <w:t>分；方案较为全面、较为科学合理、可行性较强的，得5分；方案略有欠缺，可行性还需完善的，得2分；不提供不得分。</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5014AC9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r>
      <w:tr w14:paraId="124D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465" w:type="pct"/>
            <w:vMerge w:val="continue"/>
            <w:tcBorders>
              <w:left w:val="single" w:color="auto" w:sz="4" w:space="0"/>
              <w:right w:val="single" w:color="auto" w:sz="4" w:space="0"/>
            </w:tcBorders>
            <w:noWrap w:val="0"/>
            <w:vAlign w:val="center"/>
          </w:tcPr>
          <w:p w14:paraId="7774CF0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700" w:type="pct"/>
            <w:vMerge w:val="continue"/>
            <w:tcBorders>
              <w:left w:val="single" w:color="auto" w:sz="4" w:space="0"/>
              <w:right w:val="single" w:color="auto" w:sz="4" w:space="0"/>
            </w:tcBorders>
            <w:noWrap w:val="0"/>
            <w:vAlign w:val="center"/>
          </w:tcPr>
          <w:p w14:paraId="23A196C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3441" w:type="pct"/>
            <w:tcBorders>
              <w:top w:val="single" w:color="auto" w:sz="4" w:space="0"/>
              <w:left w:val="single" w:color="auto" w:sz="4" w:space="0"/>
              <w:bottom w:val="single" w:color="auto" w:sz="4" w:space="0"/>
              <w:right w:val="single" w:color="auto" w:sz="4" w:space="0"/>
            </w:tcBorders>
            <w:noWrap w:val="0"/>
            <w:vAlign w:val="center"/>
          </w:tcPr>
          <w:p w14:paraId="60979A14">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
                <w:bCs/>
                <w:kern w:val="0"/>
                <w:sz w:val="24"/>
                <w:szCs w:val="24"/>
                <w:lang w:bidi="ar"/>
              </w:rPr>
            </w:pPr>
            <w:r>
              <w:rPr>
                <w:rFonts w:hint="eastAsia" w:asciiTheme="minorEastAsia" w:hAnsiTheme="minorEastAsia" w:eastAsiaTheme="minorEastAsia" w:cstheme="minorEastAsia"/>
                <w:b/>
                <w:bCs/>
                <w:kern w:val="0"/>
                <w:sz w:val="24"/>
                <w:szCs w:val="24"/>
                <w:lang w:bidi="ar"/>
              </w:rPr>
              <w:t>2.4</w:t>
            </w:r>
            <w:r>
              <w:rPr>
                <w:rFonts w:hint="eastAsia" w:asciiTheme="minorEastAsia" w:hAnsiTheme="minorEastAsia" w:eastAsiaTheme="minorEastAsia" w:cstheme="minorEastAsia"/>
                <w:b/>
                <w:bCs/>
                <w:sz w:val="24"/>
                <w:szCs w:val="24"/>
              </w:rPr>
              <w:t>内部管理制度</w:t>
            </w:r>
          </w:p>
          <w:p w14:paraId="5F85B08E">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bCs/>
                <w:sz w:val="24"/>
                <w:szCs w:val="24"/>
              </w:rPr>
              <w:t>投标人应根据招标文件要求及本项目特点，</w:t>
            </w:r>
            <w:r>
              <w:rPr>
                <w:rFonts w:hint="eastAsia" w:asciiTheme="minorEastAsia" w:hAnsiTheme="minorEastAsia" w:cstheme="minorEastAsia"/>
                <w:bCs/>
                <w:sz w:val="24"/>
                <w:szCs w:val="24"/>
                <w:lang w:eastAsia="zh-CN"/>
              </w:rPr>
              <w:t>制定</w:t>
            </w:r>
            <w:r>
              <w:rPr>
                <w:rFonts w:hint="eastAsia" w:asciiTheme="minorEastAsia" w:hAnsiTheme="minorEastAsia" w:eastAsiaTheme="minorEastAsia" w:cstheme="minorEastAsia"/>
                <w:bCs/>
                <w:sz w:val="24"/>
                <w:szCs w:val="24"/>
              </w:rPr>
              <w:t>内部管理制度。</w:t>
            </w:r>
            <w:r>
              <w:rPr>
                <w:rFonts w:hint="eastAsia" w:asciiTheme="minorEastAsia" w:hAnsiTheme="minorEastAsia" w:cstheme="minorEastAsia"/>
                <w:bCs/>
                <w:sz w:val="24"/>
                <w:szCs w:val="24"/>
                <w:lang w:eastAsia="zh-CN"/>
              </w:rPr>
              <w:t>包括但不限于</w:t>
            </w:r>
            <w:r>
              <w:rPr>
                <w:rFonts w:hint="eastAsia" w:asciiTheme="minorEastAsia" w:hAnsiTheme="minorEastAsia" w:eastAsiaTheme="minorEastAsia" w:cstheme="minorEastAsia"/>
                <w:bCs/>
                <w:sz w:val="24"/>
                <w:szCs w:val="24"/>
              </w:rPr>
              <w:t>服务管理制度、岗位制度、人员考核及培训制度等。方</w:t>
            </w:r>
            <w:r>
              <w:rPr>
                <w:rFonts w:hint="eastAsia" w:asciiTheme="minorEastAsia" w:hAnsiTheme="minorEastAsia" w:eastAsiaTheme="minorEastAsia" w:cstheme="minorEastAsia"/>
                <w:kern w:val="0"/>
                <w:sz w:val="24"/>
                <w:szCs w:val="24"/>
                <w:lang w:bidi="ar"/>
              </w:rPr>
              <w:t>案全面、科学合理、可行性强的，得</w:t>
            </w:r>
            <w:r>
              <w:rPr>
                <w:rFonts w:hint="eastAsia" w:asciiTheme="minorEastAsia" w:hAnsiTheme="minorEastAsia" w:eastAsiaTheme="minorEastAsia" w:cstheme="minorEastAsia"/>
                <w:kern w:val="0"/>
                <w:sz w:val="24"/>
                <w:szCs w:val="24"/>
                <w:lang w:val="en-US" w:eastAsia="zh-CN" w:bidi="ar"/>
              </w:rPr>
              <w:t>6</w:t>
            </w:r>
            <w:r>
              <w:rPr>
                <w:rFonts w:hint="eastAsia" w:asciiTheme="minorEastAsia" w:hAnsiTheme="minorEastAsia" w:eastAsiaTheme="minorEastAsia" w:cstheme="minorEastAsia"/>
                <w:kern w:val="0"/>
                <w:sz w:val="24"/>
                <w:szCs w:val="24"/>
                <w:lang w:bidi="ar"/>
              </w:rPr>
              <w:t>分；方案较为全面、较为科学合理、可行性较强的，得</w:t>
            </w:r>
            <w:r>
              <w:rPr>
                <w:rFonts w:hint="eastAsia" w:asciiTheme="minorEastAsia" w:hAnsiTheme="minorEastAsia" w:eastAsiaTheme="minorEastAsia" w:cstheme="minorEastAsia"/>
                <w:kern w:val="0"/>
                <w:sz w:val="24"/>
                <w:szCs w:val="24"/>
                <w:lang w:val="en-US" w:eastAsia="zh-CN" w:bidi="ar"/>
              </w:rPr>
              <w:t>3</w:t>
            </w:r>
            <w:r>
              <w:rPr>
                <w:rFonts w:hint="eastAsia" w:asciiTheme="minorEastAsia" w:hAnsiTheme="minorEastAsia" w:eastAsiaTheme="minorEastAsia" w:cstheme="minorEastAsia"/>
                <w:kern w:val="0"/>
                <w:sz w:val="24"/>
                <w:szCs w:val="24"/>
                <w:lang w:bidi="ar"/>
              </w:rPr>
              <w:t>分；方案略有欠缺，可行性还需完善的，得</w:t>
            </w:r>
            <w:r>
              <w:rPr>
                <w:rFonts w:hint="eastAsia" w:asciiTheme="minorEastAsia" w:hAnsiTheme="minorEastAsia" w:eastAsiaTheme="minorEastAsia" w:cstheme="minorEastAsia"/>
                <w:kern w:val="0"/>
                <w:sz w:val="24"/>
                <w:szCs w:val="24"/>
                <w:lang w:val="en-US" w:eastAsia="zh-CN" w:bidi="ar"/>
              </w:rPr>
              <w:t>1</w:t>
            </w:r>
            <w:r>
              <w:rPr>
                <w:rFonts w:hint="eastAsia" w:asciiTheme="minorEastAsia" w:hAnsiTheme="minorEastAsia" w:eastAsiaTheme="minorEastAsia" w:cstheme="minorEastAsia"/>
                <w:kern w:val="0"/>
                <w:sz w:val="24"/>
                <w:szCs w:val="24"/>
                <w:lang w:bidi="ar"/>
              </w:rPr>
              <w:t>分；不提供不得分。</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03A878D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p w14:paraId="4CF0007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r>
      <w:tr w14:paraId="174C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5" w:hRule="atLeast"/>
          <w:jc w:val="center"/>
        </w:trPr>
        <w:tc>
          <w:tcPr>
            <w:tcW w:w="465" w:type="pct"/>
            <w:vMerge w:val="continue"/>
            <w:tcBorders>
              <w:left w:val="single" w:color="auto" w:sz="4" w:space="0"/>
              <w:right w:val="single" w:color="auto" w:sz="4" w:space="0"/>
            </w:tcBorders>
            <w:noWrap w:val="0"/>
            <w:vAlign w:val="center"/>
          </w:tcPr>
          <w:p w14:paraId="30CBC82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700" w:type="pct"/>
            <w:vMerge w:val="continue"/>
            <w:tcBorders>
              <w:left w:val="single" w:color="auto" w:sz="4" w:space="0"/>
              <w:right w:val="single" w:color="auto" w:sz="4" w:space="0"/>
            </w:tcBorders>
            <w:noWrap w:val="0"/>
            <w:vAlign w:val="center"/>
          </w:tcPr>
          <w:p w14:paraId="1F59ACC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kern w:val="0"/>
                <w:sz w:val="24"/>
                <w:szCs w:val="24"/>
              </w:rPr>
            </w:pPr>
          </w:p>
        </w:tc>
        <w:tc>
          <w:tcPr>
            <w:tcW w:w="3441" w:type="pct"/>
            <w:tcBorders>
              <w:top w:val="single" w:color="auto" w:sz="4" w:space="0"/>
              <w:left w:val="single" w:color="auto" w:sz="4" w:space="0"/>
              <w:bottom w:val="single" w:color="auto" w:sz="4" w:space="0"/>
              <w:right w:val="single" w:color="auto" w:sz="4" w:space="0"/>
            </w:tcBorders>
            <w:noWrap w:val="0"/>
            <w:vAlign w:val="center"/>
          </w:tcPr>
          <w:p w14:paraId="57A5CB80">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2.5药品与医疗设备保障方案</w:t>
            </w:r>
          </w:p>
          <w:p w14:paraId="2F12AA4D">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投标人应根据招标文件要求及本项目特点，制订药品与医疗设备保障方案。</w:t>
            </w:r>
            <w:r>
              <w:rPr>
                <w:rFonts w:hint="eastAsia" w:asciiTheme="minorEastAsia" w:hAnsiTheme="minorEastAsia" w:cstheme="minorEastAsia"/>
                <w:bCs/>
                <w:sz w:val="24"/>
                <w:szCs w:val="24"/>
                <w:lang w:eastAsia="zh-CN"/>
              </w:rPr>
              <w:t>包括但不限于</w:t>
            </w:r>
            <w:r>
              <w:rPr>
                <w:rFonts w:hint="eastAsia" w:asciiTheme="minorEastAsia" w:hAnsiTheme="minorEastAsia" w:eastAsiaTheme="minorEastAsia" w:cstheme="minorEastAsia"/>
                <w:bCs/>
                <w:sz w:val="24"/>
                <w:szCs w:val="24"/>
              </w:rPr>
              <w:t>①常用药、急救药配备、药品进货渠道、药品保管制度、发药记录等②拟投入设备情况（如血压计、急救箱、氧气袋、AED等）、提供拟投入设备清单、品牌、型号、市场价格等。</w:t>
            </w:r>
          </w:p>
          <w:p w14:paraId="6CDBB25E">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方</w:t>
            </w:r>
            <w:r>
              <w:rPr>
                <w:rFonts w:hint="eastAsia" w:asciiTheme="minorEastAsia" w:hAnsiTheme="minorEastAsia" w:eastAsiaTheme="minorEastAsia" w:cstheme="minorEastAsia"/>
                <w:kern w:val="0"/>
                <w:sz w:val="24"/>
                <w:szCs w:val="24"/>
                <w:lang w:bidi="ar"/>
              </w:rPr>
              <w:t>案全面、科学合理、</w:t>
            </w:r>
            <w:r>
              <w:rPr>
                <w:rFonts w:hint="eastAsia" w:asciiTheme="minorEastAsia" w:hAnsiTheme="minorEastAsia" w:eastAsiaTheme="minorEastAsia" w:cstheme="minorEastAsia"/>
                <w:sz w:val="24"/>
                <w:szCs w:val="24"/>
              </w:rPr>
              <w:t>管理规范、保障力强</w:t>
            </w:r>
            <w:r>
              <w:rPr>
                <w:rFonts w:hint="eastAsia" w:asciiTheme="minorEastAsia" w:hAnsiTheme="minorEastAsia" w:eastAsiaTheme="minorEastAsia" w:cstheme="minorEastAsia"/>
                <w:kern w:val="0"/>
                <w:sz w:val="24"/>
                <w:szCs w:val="24"/>
                <w:lang w:bidi="ar"/>
              </w:rPr>
              <w:t>，得</w:t>
            </w:r>
            <w:r>
              <w:rPr>
                <w:rFonts w:hint="eastAsia" w:asciiTheme="minorEastAsia" w:hAnsiTheme="minorEastAsia" w:eastAsiaTheme="minorEastAsia" w:cstheme="minorEastAsia"/>
                <w:kern w:val="0"/>
                <w:sz w:val="24"/>
                <w:szCs w:val="24"/>
                <w:lang w:val="en-US" w:eastAsia="zh-CN" w:bidi="ar"/>
              </w:rPr>
              <w:t>6</w:t>
            </w:r>
            <w:r>
              <w:rPr>
                <w:rFonts w:hint="eastAsia" w:asciiTheme="minorEastAsia" w:hAnsiTheme="minorEastAsia" w:eastAsiaTheme="minorEastAsia" w:cstheme="minorEastAsia"/>
                <w:kern w:val="0"/>
                <w:sz w:val="24"/>
                <w:szCs w:val="24"/>
                <w:lang w:bidi="ar"/>
              </w:rPr>
              <w:t>分；方案较为全面、较为科学合理、</w:t>
            </w:r>
            <w:r>
              <w:rPr>
                <w:rFonts w:hint="eastAsia" w:asciiTheme="minorEastAsia" w:hAnsiTheme="minorEastAsia" w:eastAsiaTheme="minorEastAsia" w:cstheme="minorEastAsia"/>
                <w:sz w:val="24"/>
                <w:szCs w:val="24"/>
              </w:rPr>
              <w:t>管理较规范、保障力</w:t>
            </w:r>
            <w:r>
              <w:rPr>
                <w:rFonts w:hint="eastAsia" w:asciiTheme="minorEastAsia" w:hAnsiTheme="minorEastAsia" w:eastAsiaTheme="minorEastAsia" w:cstheme="minorEastAsia"/>
                <w:kern w:val="0"/>
                <w:sz w:val="24"/>
                <w:szCs w:val="24"/>
                <w:lang w:bidi="ar"/>
              </w:rPr>
              <w:t>较强的，得</w:t>
            </w:r>
            <w:r>
              <w:rPr>
                <w:rFonts w:hint="eastAsia" w:asciiTheme="minorEastAsia" w:hAnsiTheme="minorEastAsia" w:eastAsiaTheme="minorEastAsia" w:cstheme="minorEastAsia"/>
                <w:kern w:val="0"/>
                <w:sz w:val="24"/>
                <w:szCs w:val="24"/>
                <w:lang w:val="en-US" w:eastAsia="zh-CN" w:bidi="ar"/>
              </w:rPr>
              <w:t>3</w:t>
            </w:r>
            <w:r>
              <w:rPr>
                <w:rFonts w:hint="eastAsia" w:asciiTheme="minorEastAsia" w:hAnsiTheme="minorEastAsia" w:eastAsiaTheme="minorEastAsia" w:cstheme="minorEastAsia"/>
                <w:kern w:val="0"/>
                <w:sz w:val="24"/>
                <w:szCs w:val="24"/>
                <w:lang w:bidi="ar"/>
              </w:rPr>
              <w:t>分；方案略有欠缺，</w:t>
            </w:r>
            <w:r>
              <w:rPr>
                <w:rFonts w:hint="eastAsia" w:asciiTheme="minorEastAsia" w:hAnsiTheme="minorEastAsia" w:eastAsiaTheme="minorEastAsia" w:cstheme="minorEastAsia"/>
                <w:sz w:val="24"/>
                <w:szCs w:val="24"/>
              </w:rPr>
              <w:t>管理及保障力</w:t>
            </w:r>
            <w:r>
              <w:rPr>
                <w:rFonts w:hint="eastAsia" w:asciiTheme="minorEastAsia" w:hAnsiTheme="minorEastAsia" w:eastAsiaTheme="minorEastAsia" w:cstheme="minorEastAsia"/>
                <w:kern w:val="0"/>
                <w:sz w:val="24"/>
                <w:szCs w:val="24"/>
                <w:lang w:bidi="ar"/>
              </w:rPr>
              <w:t>还需完善的，得</w:t>
            </w:r>
            <w:r>
              <w:rPr>
                <w:rFonts w:hint="eastAsia" w:asciiTheme="minorEastAsia" w:hAnsiTheme="minorEastAsia" w:eastAsiaTheme="minorEastAsia" w:cstheme="minorEastAsia"/>
                <w:kern w:val="0"/>
                <w:sz w:val="24"/>
                <w:szCs w:val="24"/>
                <w:lang w:val="en-US" w:eastAsia="zh-CN" w:bidi="ar"/>
              </w:rPr>
              <w:t>1</w:t>
            </w:r>
            <w:r>
              <w:rPr>
                <w:rFonts w:hint="eastAsia" w:asciiTheme="minorEastAsia" w:hAnsiTheme="minorEastAsia" w:eastAsiaTheme="minorEastAsia" w:cstheme="minorEastAsia"/>
                <w:kern w:val="0"/>
                <w:sz w:val="24"/>
                <w:szCs w:val="24"/>
                <w:lang w:bidi="ar"/>
              </w:rPr>
              <w:t>分；不提供不得分。</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68BACA5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p>
        </w:tc>
      </w:tr>
      <w:tr w14:paraId="04BF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9" w:hRule="atLeast"/>
          <w:jc w:val="center"/>
        </w:trPr>
        <w:tc>
          <w:tcPr>
            <w:tcW w:w="465" w:type="pct"/>
            <w:vMerge w:val="continue"/>
            <w:tcBorders>
              <w:left w:val="single" w:color="auto" w:sz="4" w:space="0"/>
              <w:right w:val="single" w:color="auto" w:sz="4" w:space="0"/>
            </w:tcBorders>
            <w:noWrap w:val="0"/>
            <w:vAlign w:val="center"/>
          </w:tcPr>
          <w:p w14:paraId="7E62BAF0">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700" w:type="pct"/>
            <w:vMerge w:val="continue"/>
            <w:tcBorders>
              <w:left w:val="single" w:color="auto" w:sz="4" w:space="0"/>
              <w:right w:val="single" w:color="auto" w:sz="4" w:space="0"/>
            </w:tcBorders>
            <w:noWrap w:val="0"/>
            <w:vAlign w:val="center"/>
          </w:tcPr>
          <w:p w14:paraId="651D718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kern w:val="0"/>
                <w:sz w:val="24"/>
                <w:szCs w:val="24"/>
              </w:rPr>
            </w:pPr>
          </w:p>
        </w:tc>
        <w:tc>
          <w:tcPr>
            <w:tcW w:w="3441" w:type="pct"/>
            <w:tcBorders>
              <w:top w:val="single" w:color="auto" w:sz="4" w:space="0"/>
              <w:left w:val="single" w:color="auto" w:sz="4" w:space="0"/>
              <w:bottom w:val="single" w:color="auto" w:sz="4" w:space="0"/>
              <w:right w:val="single" w:color="auto" w:sz="4" w:space="0"/>
            </w:tcBorders>
            <w:noWrap w:val="0"/>
            <w:vAlign w:val="center"/>
          </w:tcPr>
          <w:p w14:paraId="0810342C">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b/>
                <w:bCs/>
                <w:iCs/>
                <w:sz w:val="24"/>
                <w:szCs w:val="24"/>
              </w:rPr>
            </w:pPr>
            <w:r>
              <w:rPr>
                <w:rFonts w:hint="eastAsia" w:asciiTheme="minorEastAsia" w:hAnsiTheme="minorEastAsia" w:eastAsiaTheme="minorEastAsia" w:cstheme="minorEastAsia"/>
                <w:b/>
                <w:bCs/>
                <w:kern w:val="0"/>
                <w:sz w:val="24"/>
                <w:szCs w:val="24"/>
                <w:lang w:bidi="ar"/>
              </w:rPr>
              <w:t>2.6</w:t>
            </w:r>
            <w:r>
              <w:rPr>
                <w:rFonts w:hint="eastAsia" w:asciiTheme="minorEastAsia" w:hAnsiTheme="minorEastAsia" w:eastAsiaTheme="minorEastAsia" w:cstheme="minorEastAsia"/>
                <w:b/>
                <w:bCs/>
                <w:iCs/>
                <w:sz w:val="24"/>
                <w:szCs w:val="24"/>
              </w:rPr>
              <w:t>健康教育、知识培训</w:t>
            </w:r>
          </w:p>
          <w:p w14:paraId="772CF553">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投标人应根据招标文件要求及本项目特点，制订健康教育、知识培训方案。制定宣传及培训计划、组织方式等。每学期开展</w:t>
            </w:r>
            <w:r>
              <w:rPr>
                <w:rFonts w:hint="eastAsia" w:asciiTheme="minorEastAsia" w:hAnsiTheme="minorEastAsia" w:eastAsiaTheme="minorEastAsia" w:cstheme="minorEastAsia"/>
                <w:bCs/>
                <w:sz w:val="24"/>
                <w:szCs w:val="24"/>
                <w:lang w:val="en-US" w:eastAsia="zh-CN"/>
              </w:rPr>
              <w:t>相关</w:t>
            </w:r>
            <w:r>
              <w:rPr>
                <w:rFonts w:hint="eastAsia" w:asciiTheme="minorEastAsia" w:hAnsiTheme="minorEastAsia" w:eastAsiaTheme="minorEastAsia" w:cstheme="minorEastAsia"/>
                <w:bCs/>
                <w:sz w:val="24"/>
                <w:szCs w:val="24"/>
              </w:rPr>
              <w:t>医疗知识宣传活动，活动主题聚焦传染病防治、急救技能普及、健康减重指导等重点领域。</w:t>
            </w:r>
          </w:p>
          <w:p w14:paraId="5AE5A01D">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iCs/>
                <w:sz w:val="24"/>
                <w:szCs w:val="24"/>
              </w:rPr>
            </w:pPr>
            <w:r>
              <w:rPr>
                <w:rFonts w:hint="eastAsia" w:asciiTheme="minorEastAsia" w:hAnsiTheme="minorEastAsia" w:eastAsiaTheme="minorEastAsia" w:cstheme="minorEastAsia"/>
                <w:kern w:val="0"/>
                <w:sz w:val="24"/>
                <w:szCs w:val="24"/>
                <w:lang w:bidi="ar"/>
              </w:rPr>
              <w:t>方案全面、科学合理、可行性强的，得</w:t>
            </w:r>
            <w:r>
              <w:rPr>
                <w:rFonts w:hint="eastAsia" w:asciiTheme="minorEastAsia" w:hAnsiTheme="minorEastAsia" w:eastAsiaTheme="minorEastAsia" w:cstheme="minorEastAsia"/>
                <w:kern w:val="0"/>
                <w:sz w:val="24"/>
                <w:szCs w:val="24"/>
                <w:lang w:val="en-US" w:eastAsia="zh-CN" w:bidi="ar"/>
              </w:rPr>
              <w:t>6</w:t>
            </w:r>
            <w:r>
              <w:rPr>
                <w:rFonts w:hint="eastAsia" w:asciiTheme="minorEastAsia" w:hAnsiTheme="minorEastAsia" w:eastAsiaTheme="minorEastAsia" w:cstheme="minorEastAsia"/>
                <w:kern w:val="0"/>
                <w:sz w:val="24"/>
                <w:szCs w:val="24"/>
                <w:lang w:bidi="ar"/>
              </w:rPr>
              <w:t>分；方案较为全面、较为科学合理、可行性较强的，得3分；方案略有欠缺，可行性还需完善的，得1分；不提供不得分。</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0B3C9B5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p>
        </w:tc>
      </w:tr>
      <w:tr w14:paraId="6C32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1" w:hRule="atLeast"/>
          <w:jc w:val="center"/>
        </w:trPr>
        <w:tc>
          <w:tcPr>
            <w:tcW w:w="465" w:type="pct"/>
            <w:vMerge w:val="continue"/>
            <w:tcBorders>
              <w:left w:val="single" w:color="auto" w:sz="4" w:space="0"/>
              <w:right w:val="single" w:color="auto" w:sz="4" w:space="0"/>
            </w:tcBorders>
            <w:noWrap w:val="0"/>
            <w:vAlign w:val="center"/>
          </w:tcPr>
          <w:p w14:paraId="5679FDF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700" w:type="pct"/>
            <w:vMerge w:val="continue"/>
            <w:tcBorders>
              <w:left w:val="single" w:color="auto" w:sz="4" w:space="0"/>
              <w:right w:val="single" w:color="auto" w:sz="4" w:space="0"/>
            </w:tcBorders>
            <w:noWrap w:val="0"/>
            <w:vAlign w:val="center"/>
          </w:tcPr>
          <w:p w14:paraId="4EA1A7D6">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kern w:val="0"/>
                <w:sz w:val="24"/>
                <w:szCs w:val="24"/>
              </w:rPr>
            </w:pPr>
          </w:p>
        </w:tc>
        <w:tc>
          <w:tcPr>
            <w:tcW w:w="3441" w:type="pct"/>
            <w:tcBorders>
              <w:top w:val="single" w:color="auto" w:sz="4" w:space="0"/>
              <w:left w:val="single" w:color="auto" w:sz="4" w:space="0"/>
              <w:bottom w:val="single" w:color="auto" w:sz="4" w:space="0"/>
              <w:right w:val="single" w:color="auto" w:sz="4" w:space="0"/>
            </w:tcBorders>
            <w:noWrap w:val="0"/>
            <w:vAlign w:val="center"/>
          </w:tcPr>
          <w:p w14:paraId="64126D63">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rPr>
              <w:t>服务承诺方案</w:t>
            </w:r>
          </w:p>
          <w:p w14:paraId="3DE22B81">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投标人应根据招标文件要求及本项目特点，制订</w:t>
            </w:r>
            <w:r>
              <w:rPr>
                <w:rFonts w:hint="eastAsia" w:asciiTheme="minorEastAsia" w:hAnsiTheme="minorEastAsia" w:eastAsiaTheme="minorEastAsia" w:cstheme="minorEastAsia"/>
                <w:sz w:val="24"/>
                <w:szCs w:val="24"/>
              </w:rPr>
              <w:t>服务承诺方案</w:t>
            </w:r>
            <w:r>
              <w:rPr>
                <w:rFonts w:hint="eastAsia" w:asciiTheme="minorEastAsia" w:hAnsiTheme="minorEastAsia" w:eastAsiaTheme="minorEastAsia" w:cstheme="minorEastAsia"/>
                <w:bCs/>
                <w:sz w:val="24"/>
                <w:szCs w:val="24"/>
              </w:rPr>
              <w:t>。包含项目需求响应情况、服务质量承诺、增值服务等。</w:t>
            </w:r>
          </w:p>
          <w:p w14:paraId="588A7088">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kern w:val="0"/>
                <w:sz w:val="24"/>
                <w:szCs w:val="24"/>
                <w:lang w:bidi="ar"/>
              </w:rPr>
              <w:t>服务承诺全面、能完全满足项目需求、增值服务较好的，得</w:t>
            </w:r>
            <w:r>
              <w:rPr>
                <w:rFonts w:hint="eastAsia" w:asciiTheme="minorEastAsia" w:hAnsiTheme="minorEastAsia" w:eastAsiaTheme="minorEastAsia" w:cstheme="minorEastAsia"/>
                <w:kern w:val="0"/>
                <w:sz w:val="24"/>
                <w:szCs w:val="24"/>
                <w:lang w:val="en-US" w:eastAsia="zh-CN" w:bidi="ar"/>
              </w:rPr>
              <w:t>6</w:t>
            </w:r>
            <w:r>
              <w:rPr>
                <w:rFonts w:hint="eastAsia" w:asciiTheme="minorEastAsia" w:hAnsiTheme="minorEastAsia" w:eastAsiaTheme="minorEastAsia" w:cstheme="minorEastAsia"/>
                <w:kern w:val="0"/>
                <w:sz w:val="24"/>
                <w:szCs w:val="24"/>
                <w:lang w:bidi="ar"/>
              </w:rPr>
              <w:t>分；承诺较为全面、能满足全部项目需求、增值服务一般，得3分；承诺略有欠缺，不能全部满足项目需求、增值服务较差，得1分；不提供不得分。</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4898FEA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p>
        </w:tc>
      </w:tr>
      <w:tr w14:paraId="593C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2" w:hRule="atLeast"/>
          <w:jc w:val="center"/>
        </w:trPr>
        <w:tc>
          <w:tcPr>
            <w:tcW w:w="465" w:type="pct"/>
            <w:vMerge w:val="restart"/>
            <w:tcBorders>
              <w:top w:val="single" w:color="auto" w:sz="4" w:space="0"/>
              <w:left w:val="single" w:color="auto" w:sz="4" w:space="0"/>
              <w:right w:val="single" w:color="auto" w:sz="4" w:space="0"/>
            </w:tcBorders>
            <w:noWrap w:val="0"/>
            <w:vAlign w:val="center"/>
          </w:tcPr>
          <w:p w14:paraId="2663DD3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700" w:type="pct"/>
            <w:vMerge w:val="restart"/>
            <w:tcBorders>
              <w:left w:val="single" w:color="auto" w:sz="4" w:space="0"/>
              <w:right w:val="single" w:color="auto" w:sz="4" w:space="0"/>
            </w:tcBorders>
            <w:noWrap w:val="0"/>
            <w:vAlign w:val="center"/>
          </w:tcPr>
          <w:p w14:paraId="77D5ACB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人员配置</w:t>
            </w:r>
          </w:p>
          <w:p w14:paraId="6A496E5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lang w:val="en-US" w:eastAsia="zh-CN"/>
              </w:rPr>
              <w:t>17</w:t>
            </w:r>
            <w:r>
              <w:rPr>
                <w:rFonts w:hint="eastAsia" w:asciiTheme="minorEastAsia" w:hAnsiTheme="minorEastAsia" w:eastAsiaTheme="minorEastAsia" w:cstheme="minorEastAsia"/>
                <w:kern w:val="0"/>
                <w:sz w:val="24"/>
                <w:szCs w:val="24"/>
              </w:rPr>
              <w:t>分）</w:t>
            </w:r>
          </w:p>
        </w:tc>
        <w:tc>
          <w:tcPr>
            <w:tcW w:w="3441" w:type="pct"/>
            <w:tcBorders>
              <w:top w:val="single" w:color="auto" w:sz="4" w:space="0"/>
              <w:left w:val="single" w:color="auto" w:sz="4" w:space="0"/>
              <w:bottom w:val="single" w:color="auto" w:sz="4" w:space="0"/>
              <w:right w:val="single" w:color="auto" w:sz="4" w:space="0"/>
            </w:tcBorders>
            <w:noWrap w:val="0"/>
            <w:vAlign w:val="center"/>
          </w:tcPr>
          <w:p w14:paraId="5516F690">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3.1人员配置方案</w:t>
            </w:r>
          </w:p>
          <w:p w14:paraId="5507BB14">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bookmarkStart w:id="53" w:name="OLE_LINK7"/>
            <w:bookmarkStart w:id="54" w:name="OLE_LINK8"/>
            <w:r>
              <w:rPr>
                <w:rFonts w:hint="eastAsia" w:asciiTheme="minorEastAsia" w:hAnsiTheme="minorEastAsia" w:eastAsiaTheme="minorEastAsia" w:cstheme="minorEastAsia"/>
                <w:bCs/>
                <w:sz w:val="24"/>
                <w:szCs w:val="24"/>
              </w:rPr>
              <w:t>投标人应根据招标文件要求</w:t>
            </w:r>
            <w:bookmarkEnd w:id="53"/>
            <w:bookmarkEnd w:id="54"/>
            <w:r>
              <w:rPr>
                <w:rFonts w:hint="eastAsia" w:asciiTheme="minorEastAsia" w:hAnsiTheme="minorEastAsia" w:eastAsiaTheme="minorEastAsia" w:cstheme="minorEastAsia"/>
                <w:bCs/>
                <w:sz w:val="24"/>
                <w:szCs w:val="24"/>
              </w:rPr>
              <w:t>及本项目特点，制订人员配置方案。医务人员应满足招标文件要求，并根据招标文件要求制定校区人员计划安排、日常24小时白天和夜间人员配置计划等。</w:t>
            </w:r>
          </w:p>
          <w:p w14:paraId="2B1F8B5D">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bidi="ar"/>
              </w:rPr>
              <w:t>方案全面、科学合理、可行性强的，得8分；方案较为全面、较为科学合理、可行性较强的，得5分；方案略有欠缺，可行性还需完善的，得2分；不提供不得分。</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2673C3A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r>
      <w:tr w14:paraId="1853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3" w:hRule="atLeast"/>
          <w:jc w:val="center"/>
        </w:trPr>
        <w:tc>
          <w:tcPr>
            <w:tcW w:w="465" w:type="pct"/>
            <w:vMerge w:val="continue"/>
            <w:tcBorders>
              <w:left w:val="single" w:color="auto" w:sz="4" w:space="0"/>
              <w:right w:val="single" w:color="auto" w:sz="4" w:space="0"/>
            </w:tcBorders>
            <w:noWrap w:val="0"/>
            <w:vAlign w:val="center"/>
          </w:tcPr>
          <w:p w14:paraId="5A9391B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700" w:type="pct"/>
            <w:vMerge w:val="continue"/>
            <w:tcBorders>
              <w:left w:val="single" w:color="auto" w:sz="4" w:space="0"/>
              <w:right w:val="single" w:color="auto" w:sz="4" w:space="0"/>
            </w:tcBorders>
            <w:noWrap w:val="0"/>
            <w:vAlign w:val="center"/>
          </w:tcPr>
          <w:p w14:paraId="6F39EAF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kern w:val="0"/>
                <w:sz w:val="24"/>
                <w:szCs w:val="24"/>
              </w:rPr>
            </w:pPr>
          </w:p>
        </w:tc>
        <w:tc>
          <w:tcPr>
            <w:tcW w:w="3441" w:type="pct"/>
            <w:tcBorders>
              <w:top w:val="single" w:color="auto" w:sz="4" w:space="0"/>
              <w:left w:val="single" w:color="auto" w:sz="4" w:space="0"/>
              <w:bottom w:val="single" w:color="auto" w:sz="4" w:space="0"/>
              <w:right w:val="single" w:color="auto" w:sz="4" w:space="0"/>
            </w:tcBorders>
            <w:noWrap w:val="0"/>
            <w:vAlign w:val="center"/>
          </w:tcPr>
          <w:p w14:paraId="5A971000">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3.2拟派校区医务室负责人</w:t>
            </w:r>
          </w:p>
          <w:p w14:paraId="3A62F620">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拟派负责人</w:t>
            </w:r>
            <w:r>
              <w:rPr>
                <w:rFonts w:hint="eastAsia" w:asciiTheme="minorEastAsia" w:hAnsiTheme="minorEastAsia" w:eastAsiaTheme="minorEastAsia" w:cstheme="minorEastAsia"/>
                <w:sz w:val="24"/>
                <w:szCs w:val="24"/>
                <w:highlight w:val="none"/>
                <w:lang w:val="en-US" w:eastAsia="zh-CN"/>
              </w:rPr>
              <w:t>要求</w:t>
            </w:r>
            <w:r>
              <w:rPr>
                <w:rFonts w:hint="eastAsia" w:asciiTheme="minorEastAsia" w:hAnsiTheme="minorEastAsia" w:eastAsiaTheme="minorEastAsia" w:cstheme="minorEastAsia"/>
                <w:sz w:val="24"/>
                <w:szCs w:val="24"/>
                <w:highlight w:val="none"/>
              </w:rPr>
              <w:t>具有3年以上相关工作经验，</w:t>
            </w:r>
            <w:r>
              <w:rPr>
                <w:rFonts w:hint="eastAsia" w:asciiTheme="minorEastAsia" w:hAnsiTheme="minorEastAsia" w:eastAsiaTheme="minorEastAsia" w:cstheme="minorEastAsia"/>
                <w:sz w:val="24"/>
                <w:szCs w:val="24"/>
                <w:highlight w:val="none"/>
                <w:lang w:val="en-US" w:eastAsia="zh-CN"/>
              </w:rPr>
              <w:t>高级职称</w:t>
            </w:r>
            <w:r>
              <w:rPr>
                <w:rFonts w:hint="eastAsia" w:asciiTheme="minorEastAsia" w:hAnsiTheme="minorEastAsia" w:eastAsiaTheme="minorEastAsia" w:cstheme="minorEastAsia"/>
                <w:sz w:val="24"/>
                <w:szCs w:val="24"/>
                <w:highlight w:val="none"/>
              </w:rPr>
              <w:t>得</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分，拟派负责人</w:t>
            </w:r>
            <w:r>
              <w:rPr>
                <w:rFonts w:hint="eastAsia" w:asciiTheme="minorEastAsia" w:hAnsiTheme="minorEastAsia" w:eastAsiaTheme="minorEastAsia" w:cstheme="minorEastAsia"/>
                <w:sz w:val="24"/>
                <w:szCs w:val="24"/>
                <w:highlight w:val="none"/>
                <w:lang w:val="en-US" w:eastAsia="zh-CN"/>
              </w:rPr>
              <w:t>具有</w:t>
            </w:r>
            <w:r>
              <w:rPr>
                <w:rFonts w:hint="eastAsia" w:asciiTheme="minorEastAsia" w:hAnsiTheme="minorEastAsia" w:eastAsiaTheme="minorEastAsia" w:cstheme="minorEastAsia"/>
                <w:sz w:val="24"/>
                <w:szCs w:val="24"/>
                <w:highlight w:val="none"/>
              </w:rPr>
              <w:t>中级职称得</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w:t>
            </w:r>
            <w:r>
              <w:rPr>
                <w:rFonts w:hint="eastAsia" w:asciiTheme="minorEastAsia" w:hAnsiTheme="minorEastAsia" w:cstheme="minorEastAsia"/>
                <w:sz w:val="24"/>
                <w:szCs w:val="24"/>
                <w:highlight w:val="none"/>
                <w:lang w:eastAsia="zh-CN"/>
              </w:rPr>
              <w:t>。</w:t>
            </w:r>
          </w:p>
          <w:p w14:paraId="5CD6BA4C">
            <w:pPr>
              <w:keepNext w:val="0"/>
              <w:keepLines w:val="0"/>
              <w:pageBreakBefore w:val="0"/>
              <w:widowControl w:val="0"/>
              <w:kinsoku/>
              <w:wordWrap/>
              <w:overflowPunct/>
              <w:topLinePunct w:val="0"/>
              <w:autoSpaceDE/>
              <w:autoSpaceDN/>
              <w:bidi w:val="0"/>
              <w:spacing w:line="360" w:lineRule="exact"/>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（需</w:t>
            </w:r>
            <w:r>
              <w:rPr>
                <w:rFonts w:hint="eastAsia" w:asciiTheme="minorEastAsia" w:hAnsiTheme="minorEastAsia" w:eastAsiaTheme="minorEastAsia" w:cstheme="minorEastAsia"/>
                <w:sz w:val="24"/>
                <w:szCs w:val="24"/>
                <w:lang w:val="en-US" w:eastAsia="zh-CN"/>
              </w:rPr>
              <w:t>按要求</w:t>
            </w:r>
            <w:r>
              <w:rPr>
                <w:rFonts w:hint="eastAsia" w:asciiTheme="minorEastAsia" w:hAnsiTheme="minorEastAsia" w:eastAsiaTheme="minorEastAsia" w:cstheme="minorEastAsia"/>
                <w:sz w:val="24"/>
                <w:szCs w:val="24"/>
              </w:rPr>
              <w:t>提供有效证书复印件</w:t>
            </w:r>
            <w:r>
              <w:rPr>
                <w:rFonts w:hint="eastAsia" w:asciiTheme="minorEastAsia" w:hAnsiTheme="minorEastAsia" w:eastAsiaTheme="minorEastAsia" w:cstheme="minorEastAsia"/>
                <w:sz w:val="24"/>
                <w:szCs w:val="24"/>
                <w:lang w:eastAsia="zh-CN"/>
              </w:rPr>
              <w:t>）</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218B2299">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4</w:t>
            </w:r>
          </w:p>
        </w:tc>
      </w:tr>
      <w:tr w14:paraId="156A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9" w:hRule="atLeast"/>
          <w:jc w:val="center"/>
        </w:trPr>
        <w:tc>
          <w:tcPr>
            <w:tcW w:w="465" w:type="pct"/>
            <w:vMerge w:val="continue"/>
            <w:tcBorders>
              <w:left w:val="single" w:color="auto" w:sz="4" w:space="0"/>
              <w:right w:val="single" w:color="auto" w:sz="4" w:space="0"/>
            </w:tcBorders>
            <w:noWrap w:val="0"/>
            <w:vAlign w:val="center"/>
          </w:tcPr>
          <w:p w14:paraId="66CE406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700" w:type="pct"/>
            <w:vMerge w:val="continue"/>
            <w:tcBorders>
              <w:left w:val="single" w:color="auto" w:sz="4" w:space="0"/>
              <w:right w:val="single" w:color="auto" w:sz="4" w:space="0"/>
            </w:tcBorders>
            <w:noWrap w:val="0"/>
            <w:vAlign w:val="center"/>
          </w:tcPr>
          <w:p w14:paraId="42A42A1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p>
        </w:tc>
        <w:tc>
          <w:tcPr>
            <w:tcW w:w="3441" w:type="pct"/>
            <w:tcBorders>
              <w:top w:val="single" w:color="auto" w:sz="4" w:space="0"/>
              <w:left w:val="single" w:color="auto" w:sz="4" w:space="0"/>
              <w:bottom w:val="single" w:color="auto" w:sz="4" w:space="0"/>
              <w:right w:val="single" w:color="auto" w:sz="4" w:space="0"/>
            </w:tcBorders>
            <w:noWrap w:val="0"/>
            <w:vAlign w:val="center"/>
          </w:tcPr>
          <w:p w14:paraId="28280DA8">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3.3拟派医护团队成员状况（医务室负责人除外）</w:t>
            </w:r>
          </w:p>
          <w:p w14:paraId="0AEBDB36">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（1）委派医生</w:t>
            </w:r>
            <w:r>
              <w:rPr>
                <w:rFonts w:hint="eastAsia" w:asciiTheme="minorEastAsia" w:hAnsiTheme="minorEastAsia" w:cstheme="minorEastAsia"/>
                <w:sz w:val="24"/>
                <w:szCs w:val="24"/>
                <w:lang w:eastAsia="zh-CN"/>
              </w:rPr>
              <w:t>须</w:t>
            </w:r>
            <w:r>
              <w:rPr>
                <w:rFonts w:hint="eastAsia" w:asciiTheme="minorEastAsia" w:hAnsiTheme="minorEastAsia" w:eastAsiaTheme="minorEastAsia" w:cstheme="minorEastAsia"/>
                <w:sz w:val="24"/>
                <w:szCs w:val="24"/>
              </w:rPr>
              <w:t>持有有效执业医师证书，并具备中级（含）以上专业技术职务任职资格，每提供一人得</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分。</w:t>
            </w:r>
          </w:p>
          <w:p w14:paraId="64BEABA3">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（2）委派护士应具有有效护士执业证书，且取得护师（含）以上护理专业技术职称,提供一人得</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分。</w:t>
            </w:r>
          </w:p>
          <w:p w14:paraId="3B303360">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本项最高得</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分。（需提供有效证书复印件</w:t>
            </w:r>
            <w:r>
              <w:rPr>
                <w:rFonts w:hint="eastAsia" w:asciiTheme="minorEastAsia" w:hAnsiTheme="minorEastAsia" w:cstheme="minorEastAsia"/>
                <w:sz w:val="24"/>
                <w:szCs w:val="24"/>
                <w:lang w:val="en-US" w:eastAsia="zh-CN"/>
              </w:rPr>
              <w:t>并加盖CA公章，不提供不得分。</w:t>
            </w:r>
            <w:r>
              <w:rPr>
                <w:rFonts w:hint="eastAsia" w:asciiTheme="minorEastAsia" w:hAnsiTheme="minorEastAsia" w:eastAsiaTheme="minorEastAsia" w:cstheme="minorEastAsia"/>
                <w:sz w:val="24"/>
                <w:szCs w:val="24"/>
              </w:rPr>
              <w:t>）</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392C9DC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p>
        </w:tc>
      </w:tr>
      <w:tr w14:paraId="12E6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jc w:val="center"/>
        </w:trPr>
        <w:tc>
          <w:tcPr>
            <w:tcW w:w="465" w:type="pct"/>
            <w:vMerge w:val="restart"/>
            <w:tcBorders>
              <w:top w:val="single" w:color="auto" w:sz="4" w:space="0"/>
              <w:left w:val="single" w:color="auto" w:sz="4" w:space="0"/>
              <w:right w:val="single" w:color="auto" w:sz="4" w:space="0"/>
            </w:tcBorders>
            <w:noWrap w:val="0"/>
            <w:vAlign w:val="center"/>
          </w:tcPr>
          <w:p w14:paraId="429613C5">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700" w:type="pct"/>
            <w:vMerge w:val="restart"/>
            <w:tcBorders>
              <w:top w:val="single" w:color="auto" w:sz="4" w:space="0"/>
              <w:left w:val="single" w:color="auto" w:sz="4" w:space="0"/>
              <w:right w:val="single" w:color="auto" w:sz="4" w:space="0"/>
            </w:tcBorders>
            <w:noWrap w:val="0"/>
            <w:vAlign w:val="center"/>
          </w:tcPr>
          <w:p w14:paraId="303212A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业绩</w:t>
            </w:r>
          </w:p>
          <w:p w14:paraId="50C12FB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（1</w:t>
            </w:r>
            <w:r>
              <w:rPr>
                <w:rFonts w:hint="eastAsia" w:asciiTheme="minorEastAsia" w:hAnsiTheme="minorEastAsia" w:eastAsiaTheme="minorEastAsia" w:cstheme="minorEastAsia"/>
                <w:kern w:val="0"/>
                <w:sz w:val="24"/>
                <w:szCs w:val="24"/>
                <w:lang w:val="en-US" w:eastAsia="zh-CN"/>
              </w:rPr>
              <w:t>5</w:t>
            </w:r>
            <w:r>
              <w:rPr>
                <w:rFonts w:hint="eastAsia" w:asciiTheme="minorEastAsia" w:hAnsiTheme="minorEastAsia" w:eastAsiaTheme="minorEastAsia" w:cstheme="minorEastAsia"/>
                <w:kern w:val="0"/>
                <w:sz w:val="24"/>
                <w:szCs w:val="24"/>
              </w:rPr>
              <w:t>分）</w:t>
            </w:r>
          </w:p>
        </w:tc>
        <w:tc>
          <w:tcPr>
            <w:tcW w:w="3441" w:type="pct"/>
            <w:tcBorders>
              <w:top w:val="single" w:color="auto" w:sz="4" w:space="0"/>
              <w:left w:val="single" w:color="auto" w:sz="4" w:space="0"/>
              <w:bottom w:val="single" w:color="auto" w:sz="4" w:space="0"/>
              <w:right w:val="single" w:color="auto" w:sz="4" w:space="0"/>
            </w:tcBorders>
            <w:noWrap w:val="0"/>
            <w:vAlign w:val="center"/>
          </w:tcPr>
          <w:p w14:paraId="77701EF4">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4.1自202</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年1月以来</w:t>
            </w:r>
            <w:r>
              <w:rPr>
                <w:rFonts w:hint="eastAsia" w:asciiTheme="minorEastAsia" w:hAnsiTheme="minorEastAsia" w:cstheme="minorEastAsia"/>
                <w:sz w:val="24"/>
                <w:szCs w:val="24"/>
                <w:lang w:eastAsia="zh-CN"/>
              </w:rPr>
              <w:t>（以</w:t>
            </w:r>
            <w:r>
              <w:rPr>
                <w:rFonts w:hint="eastAsia" w:asciiTheme="minorEastAsia" w:hAnsiTheme="minorEastAsia" w:eastAsiaTheme="minorEastAsia" w:cstheme="minorEastAsia"/>
                <w:sz w:val="24"/>
                <w:szCs w:val="24"/>
              </w:rPr>
              <w:t>合同签订时间为准）</w:t>
            </w:r>
            <w:r>
              <w:rPr>
                <w:rFonts w:hint="eastAsia" w:asciiTheme="minorEastAsia" w:hAnsiTheme="minorEastAsia" w:eastAsiaTheme="minorEastAsia" w:cstheme="minorEastAsia"/>
                <w:color w:val="auto"/>
                <w:sz w:val="24"/>
                <w:szCs w:val="24"/>
              </w:rPr>
              <w:t>有</w:t>
            </w:r>
            <w:r>
              <w:rPr>
                <w:rFonts w:hint="eastAsia" w:asciiTheme="minorEastAsia" w:hAnsiTheme="minorEastAsia" w:cstheme="minorEastAsia"/>
                <w:color w:val="auto"/>
                <w:sz w:val="24"/>
                <w:szCs w:val="24"/>
                <w:lang w:val="en-US" w:eastAsia="zh-CN"/>
              </w:rPr>
              <w:t>同类</w:t>
            </w:r>
            <w:r>
              <w:rPr>
                <w:rFonts w:hint="eastAsia" w:asciiTheme="minorEastAsia" w:hAnsiTheme="minorEastAsia" w:eastAsiaTheme="minorEastAsia" w:cstheme="minorEastAsia"/>
                <w:sz w:val="24"/>
                <w:szCs w:val="24"/>
                <w:lang w:val="en-US" w:eastAsia="zh-CN"/>
              </w:rPr>
              <w:t>医务室</w:t>
            </w:r>
            <w:r>
              <w:rPr>
                <w:rFonts w:hint="eastAsia" w:asciiTheme="minorEastAsia" w:hAnsiTheme="minorEastAsia" w:eastAsiaTheme="minorEastAsia" w:cstheme="minorEastAsia"/>
                <w:sz w:val="24"/>
                <w:szCs w:val="24"/>
              </w:rPr>
              <w:t>托管案例的，每提供一个案例得</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分，最多得</w:t>
            </w: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sz w:val="24"/>
                <w:szCs w:val="24"/>
              </w:rPr>
              <w:t>同一单位业绩不得重复得分，</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rPr>
              <w:t>提供合同复印件和与之对应的中标通知书复印件，原件备查）。</w:t>
            </w:r>
          </w:p>
        </w:tc>
        <w:tc>
          <w:tcPr>
            <w:tcW w:w="392" w:type="pct"/>
            <w:tcBorders>
              <w:top w:val="single" w:color="auto" w:sz="4" w:space="0"/>
              <w:left w:val="single" w:color="auto" w:sz="4" w:space="0"/>
              <w:bottom w:val="single" w:color="auto" w:sz="4" w:space="0"/>
              <w:right w:val="single" w:color="auto" w:sz="4" w:space="0"/>
            </w:tcBorders>
            <w:noWrap w:val="0"/>
            <w:vAlign w:val="center"/>
          </w:tcPr>
          <w:p w14:paraId="48671C5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r>
      <w:tr w14:paraId="5434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465" w:type="pct"/>
            <w:vMerge w:val="continue"/>
            <w:tcBorders>
              <w:left w:val="single" w:color="auto" w:sz="4" w:space="0"/>
              <w:right w:val="single" w:color="auto" w:sz="4" w:space="0"/>
            </w:tcBorders>
            <w:noWrap w:val="0"/>
            <w:vAlign w:val="center"/>
          </w:tcPr>
          <w:p w14:paraId="26C16D0A">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p>
        </w:tc>
        <w:tc>
          <w:tcPr>
            <w:tcW w:w="700" w:type="pct"/>
            <w:vMerge w:val="continue"/>
            <w:tcBorders>
              <w:left w:val="single" w:color="auto" w:sz="4" w:space="0"/>
              <w:right w:val="single" w:color="auto" w:sz="4" w:space="0"/>
            </w:tcBorders>
            <w:noWrap w:val="0"/>
            <w:vAlign w:val="center"/>
          </w:tcPr>
          <w:p w14:paraId="55860F8F">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sz w:val="24"/>
                <w:szCs w:val="24"/>
              </w:rPr>
            </w:pPr>
          </w:p>
        </w:tc>
        <w:tc>
          <w:tcPr>
            <w:tcW w:w="3441" w:type="pct"/>
            <w:tcBorders>
              <w:top w:val="single" w:color="auto" w:sz="4" w:space="0"/>
              <w:left w:val="single" w:color="auto" w:sz="4" w:space="0"/>
              <w:right w:val="single" w:color="auto" w:sz="4" w:space="0"/>
            </w:tcBorders>
            <w:noWrap w:val="0"/>
            <w:vAlign w:val="center"/>
          </w:tcPr>
          <w:p w14:paraId="136F9545">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Theme="minorEastAsia" w:hAnsiTheme="minorEastAsia" w:eastAsiaTheme="minorEastAsia" w:cstheme="minorEastAsia"/>
                <w:bCs/>
                <w:sz w:val="24"/>
                <w:szCs w:val="24"/>
              </w:rPr>
            </w:pPr>
            <w:bookmarkStart w:id="55" w:name="OLE_LINK9"/>
            <w:bookmarkStart w:id="56" w:name="OLE_LINK10"/>
            <w:r>
              <w:rPr>
                <w:rFonts w:hint="eastAsia" w:asciiTheme="minorEastAsia" w:hAnsiTheme="minorEastAsia" w:eastAsiaTheme="minorEastAsia" w:cstheme="minorEastAsia"/>
                <w:bCs/>
                <w:sz w:val="24"/>
                <w:szCs w:val="24"/>
              </w:rPr>
              <w:t>4.2</w:t>
            </w:r>
            <w:bookmarkEnd w:id="55"/>
            <w:bookmarkEnd w:id="56"/>
            <w:r>
              <w:rPr>
                <w:rFonts w:hint="eastAsia" w:asciiTheme="minorEastAsia" w:hAnsiTheme="minorEastAsia" w:eastAsiaTheme="minorEastAsia" w:cstheme="minorEastAsia"/>
                <w:bCs/>
                <w:sz w:val="24"/>
                <w:szCs w:val="24"/>
              </w:rPr>
              <w:t>以上4.1业绩中，提供业主单位评价证明材料的，评价优秀或同等次描述的，每提供一个评价得1分。本项最高得3分。（</w:t>
            </w:r>
            <w:r>
              <w:rPr>
                <w:rFonts w:hint="eastAsia" w:asciiTheme="minorEastAsia" w:hAnsiTheme="minorEastAsia" w:eastAsiaTheme="minorEastAsia" w:cstheme="minorEastAsia"/>
                <w:bCs/>
                <w:sz w:val="24"/>
                <w:szCs w:val="24"/>
                <w:lang w:val="en-US" w:eastAsia="zh-CN"/>
              </w:rPr>
              <w:t>需提供中标通知书和合同复印件，</w:t>
            </w:r>
            <w:r>
              <w:rPr>
                <w:rFonts w:hint="eastAsia" w:asciiTheme="minorEastAsia" w:hAnsiTheme="minorEastAsia" w:eastAsiaTheme="minorEastAsia" w:cstheme="minorEastAsia"/>
                <w:bCs/>
                <w:sz w:val="24"/>
                <w:szCs w:val="24"/>
              </w:rPr>
              <w:t>需提供业主单位评价证明盖章材料）</w:t>
            </w:r>
          </w:p>
        </w:tc>
        <w:tc>
          <w:tcPr>
            <w:tcW w:w="392" w:type="pct"/>
            <w:tcBorders>
              <w:top w:val="single" w:color="auto" w:sz="4" w:space="0"/>
              <w:left w:val="single" w:color="auto" w:sz="4" w:space="0"/>
              <w:right w:val="single" w:color="auto" w:sz="4" w:space="0"/>
            </w:tcBorders>
            <w:noWrap w:val="0"/>
            <w:vAlign w:val="center"/>
          </w:tcPr>
          <w:p w14:paraId="252F82D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r>
    </w:tbl>
    <w:p w14:paraId="6E043019">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说明：</w:t>
      </w:r>
    </w:p>
    <w:p w14:paraId="6A7F0131">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1.对国家认定的节能产品和环保产品分别给予投标价的5%价格扣除，用扣除后的价格参与评审（特别说明：节能、环保产品 必须纳入“中国政府采购网http://www.ccgp.gov.cn”等官方网站“节能、环保产品查询系统”，且以提供的证书复印件为准 ）。</w:t>
      </w:r>
    </w:p>
    <w:p w14:paraId="03E9BD7F">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2.小微企业的价格扣除</w:t>
      </w:r>
    </w:p>
    <w:p w14:paraId="2E1D177F">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2.1.对于货物和服务采购项目中，未预留份额项目以及预留份额项目中的非预留部分采购包，对小微企业报价给予10%的扣除，并用扣除后的价格参加评审。其中，接受大中型企业与小微企业组成联合体或者大中型企业向小微企业分包的，对联合协议或者分包意向协议约定小微企业合同份额占到合同总金额30%以上的，给予联合体或者大中型企业10%的价格扣除，用扣除后的价格参与评审。联合体各方均为小微企业的，联合体视同为小微企业，享受相应价格扣除。</w:t>
      </w:r>
    </w:p>
    <w:p w14:paraId="4346B69F">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2.2.价格扣除比例或者价格分加分比例对小型企业和微型企业同等对待，不作区分。说明：价格扣除优惠政策仅适用于“第一章 二、申请人的资格要求2.落实政府采购政策需满足的资格要求”中“本项目采用以下第（4）种方式落实政府采购促进中小企业发展的要求”的采购项目中。</w:t>
      </w:r>
    </w:p>
    <w:p w14:paraId="78AB9C66">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3.监狱和戒毒企业的价格扣除</w:t>
      </w:r>
    </w:p>
    <w:p w14:paraId="1B6939F8">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3.1. 本项目对监狱和戒毒企业（简称监狱企业），给予等同于小微企业的价格扣除，用扣除后的价格参与评审。</w:t>
      </w:r>
    </w:p>
    <w:p w14:paraId="443DD737">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3.2. 监狱企业需提供由省级以上监狱管理局、戒毒管理局（含新疆生产建设兵团）出具的属于监狱企业的证明文件。</w:t>
      </w:r>
    </w:p>
    <w:p w14:paraId="1AC89E3D">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3.3. 监狱企业标准请参照《关于政府采购支持监狱企业发展有关问题的通知》（财库</w:t>
      </w:r>
      <w:r>
        <w:rPr>
          <w:rFonts w:hint="eastAsia" w:asciiTheme="minorEastAsia" w:hAnsiTheme="minorEastAsia" w:cstheme="minorEastAsia"/>
          <w:color w:val="000000" w:themeColor="text1"/>
          <w:szCs w:val="21"/>
          <w:lang w:eastAsia="zh-CN"/>
          <w14:textFill>
            <w14:solidFill>
              <w14:schemeClr w14:val="tx1"/>
            </w14:solidFill>
          </w14:textFill>
        </w:rPr>
        <w:t>〔2014〕68号</w:t>
      </w:r>
      <w:r>
        <w:rPr>
          <w:rFonts w:hint="eastAsia" w:asciiTheme="minorEastAsia" w:hAnsiTheme="minorEastAsia" w:cstheme="minorEastAsia"/>
          <w:color w:val="000000" w:themeColor="text1"/>
          <w:szCs w:val="21"/>
          <w14:textFill>
            <w14:solidFill>
              <w14:schemeClr w14:val="tx1"/>
            </w14:solidFill>
          </w14:textFill>
        </w:rPr>
        <w:t>）。</w:t>
      </w:r>
    </w:p>
    <w:p w14:paraId="48B940B4">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4.残疾人福利性单位的价格扣除</w:t>
      </w:r>
    </w:p>
    <w:p w14:paraId="6EAF2CA9">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4.1. 本项目对残疾人福利性单位，给予等同于小微企业的价格扣除，用扣除后的价格参与评审。</w:t>
      </w:r>
    </w:p>
    <w:p w14:paraId="36588817">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4.2. 残疾人福利单位需按照招标文件的要求提供《残疾人福利性单位声明函》。</w:t>
      </w:r>
    </w:p>
    <w:p w14:paraId="051C41A2">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4.3. 残疾人福利单位标准请参照《关于促进残疾人就业政府采购政策的通知》（财库〔2017〕141号）。</w:t>
      </w:r>
    </w:p>
    <w:p w14:paraId="7C768BE0">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5.监狱企业、残疾人福利单位属于小型、微型企业的，不重复享受政策。</w:t>
      </w:r>
    </w:p>
    <w:p w14:paraId="65E35339">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6、采购本国产品的支持政策</w:t>
      </w:r>
    </w:p>
    <w:p w14:paraId="03D136AA">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6.1 本项目政府采购活动中既有本国产品又有非本国产品参与竞争的，依法对本国产品给予价格评审优惠，对本国产品的报价给予  20%的价格扣除，用扣除后的价格参与评审。</w:t>
      </w:r>
    </w:p>
    <w:p w14:paraId="29FA74EF">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6.2 当采购项目或者采购包中含有多种产品，</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为该采购项目或者采购包提供的符合本国产品标准的产品成本之和占该</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提供的全部产品成本之和的比例达到80%以上时（</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需在“第六章 投标文件格式”的“附件2 投标分项报价表”中填写比例数值），依法对该</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提供的全部产品给予价格评审优惠，即对该</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提供的全部产品的总报价给予20%的价格扣除，用扣除后的价格参与评审。</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未填写比例数值，或比例数值未达到80%的，将不享受本国产品价格评审优惠。</w:t>
      </w:r>
    </w:p>
    <w:p w14:paraId="3D7CB516">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 xml:space="preserve">6.3 </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需按照招标文件的要求提供《关于符合本国产品标准的声明函》（以下简称《声明函》），如不提供将不享受本国产品价格评审优惠。</w:t>
      </w:r>
    </w:p>
    <w:p w14:paraId="20C2F959">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 xml:space="preserve">6.4 </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需在《声明函》中逐一、准确填写产品名称、厂名、生产厂址三项信息（《声明函》中用斜线划除的地方无需填写），三项信息中任意一项未填写的视为该项产品不符合本国产品标准，不享受本国产品价格评审优惠。</w:t>
      </w:r>
    </w:p>
    <w:p w14:paraId="46A69778">
      <w:pPr>
        <w:spacing w:line="360" w:lineRule="exact"/>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6.5 评标过程中，如发现</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在《声明函》内容含义不明确、同类事项与投标（响应）文件表述不一致或者有明显文字错误等情况的，评标委员会应当以书面形式要求</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asciiTheme="minorEastAsia" w:hAnsiTheme="minorEastAsia" w:cstheme="minorEastAsia"/>
          <w:color w:val="000000" w:themeColor="text1"/>
          <w:szCs w:val="21"/>
          <w:lang w:eastAsia="zh-CN"/>
          <w14:textFill>
            <w14:solidFill>
              <w14:schemeClr w14:val="tx1"/>
            </w14:solidFill>
          </w14:textFill>
        </w:rPr>
        <w:t>投标人</w:t>
      </w:r>
      <w:r>
        <w:rPr>
          <w:rFonts w:hint="eastAsia" w:asciiTheme="minorEastAsia" w:hAnsiTheme="minorEastAsia" w:cstheme="minorEastAsia"/>
          <w:color w:val="000000" w:themeColor="text1"/>
          <w:szCs w:val="21"/>
          <w14:textFill>
            <w14:solidFill>
              <w14:schemeClr w14:val="tx1"/>
            </w14:solidFill>
          </w14:textFill>
        </w:rPr>
        <w:t>提供的相关产品视为不符合本国产品标准。</w:t>
      </w:r>
    </w:p>
    <w:p w14:paraId="2A0AFB4F">
      <w:pPr>
        <w:widowControl/>
        <w:jc w:val="left"/>
        <w:rPr>
          <w:rFonts w:ascii="黑体" w:hAnsi="黑体" w:eastAsia="黑体" w:cs="黑体"/>
          <w:color w:val="000000" w:themeColor="text1"/>
          <w:kern w:val="44"/>
          <w:sz w:val="36"/>
          <w:szCs w:val="36"/>
          <w:u w:color="000000"/>
          <w:lang w:val="zh-TW"/>
          <w14:textFill>
            <w14:solidFill>
              <w14:schemeClr w14:val="tx1"/>
            </w14:solidFill>
          </w14:textFill>
        </w:rPr>
      </w:pPr>
      <w:bookmarkStart w:id="57" w:name="_Toc11859490"/>
      <w:r>
        <w:rPr>
          <w:rFonts w:ascii="黑体" w:hAnsi="黑体" w:eastAsia="黑体" w:cs="黑体"/>
          <w:color w:val="000000" w:themeColor="text1"/>
          <w:kern w:val="44"/>
          <w:sz w:val="36"/>
          <w:szCs w:val="36"/>
          <w:u w:color="000000"/>
          <w:lang w:val="zh-TW"/>
          <w14:textFill>
            <w14:solidFill>
              <w14:schemeClr w14:val="tx1"/>
            </w14:solidFill>
          </w14:textFill>
        </w:rPr>
        <w:br w:type="page"/>
      </w:r>
    </w:p>
    <w:p w14:paraId="29D98B74">
      <w:pPr>
        <w:widowControl/>
        <w:jc w:val="center"/>
        <w:rPr>
          <w:rFonts w:ascii="黑体" w:hAnsi="黑体" w:eastAsia="黑体" w:cs="黑体"/>
          <w:color w:val="000000" w:themeColor="text1"/>
          <w:kern w:val="44"/>
          <w:sz w:val="36"/>
          <w:szCs w:val="36"/>
          <w:u w:color="000000"/>
          <w:lang w:val="zh-TW"/>
          <w14:textFill>
            <w14:solidFill>
              <w14:schemeClr w14:val="tx1"/>
            </w14:solidFill>
          </w14:textFill>
        </w:rPr>
      </w:pPr>
      <w:r>
        <w:rPr>
          <w:rFonts w:ascii="黑体" w:hAnsi="黑体" w:eastAsia="黑体" w:cs="黑体"/>
          <w:color w:val="000000" w:themeColor="text1"/>
          <w:kern w:val="44"/>
          <w:sz w:val="36"/>
          <w:szCs w:val="36"/>
          <w:u w:color="000000"/>
          <w:lang w:val="zh-TW"/>
          <w14:textFill>
            <w14:solidFill>
              <w14:schemeClr w14:val="tx1"/>
            </w14:solidFill>
          </w14:textFill>
        </w:rPr>
        <w:t>第</w:t>
      </w:r>
      <w:r>
        <w:rPr>
          <w:rFonts w:hint="eastAsia" w:ascii="黑体" w:hAnsi="黑体" w:eastAsia="黑体" w:cs="黑体"/>
          <w:color w:val="000000" w:themeColor="text1"/>
          <w:kern w:val="44"/>
          <w:sz w:val="36"/>
          <w:szCs w:val="36"/>
          <w:u w:color="000000"/>
          <w:lang w:val="zh-TW"/>
          <w14:textFill>
            <w14:solidFill>
              <w14:schemeClr w14:val="tx1"/>
            </w14:solidFill>
          </w14:textFill>
        </w:rPr>
        <w:t>六</w:t>
      </w:r>
      <w:r>
        <w:rPr>
          <w:rFonts w:ascii="黑体" w:hAnsi="黑体" w:eastAsia="黑体" w:cs="黑体"/>
          <w:color w:val="000000" w:themeColor="text1"/>
          <w:kern w:val="44"/>
          <w:sz w:val="36"/>
          <w:szCs w:val="36"/>
          <w:u w:color="000000"/>
          <w:lang w:val="zh-TW"/>
          <w14:textFill>
            <w14:solidFill>
              <w14:schemeClr w14:val="tx1"/>
            </w14:solidFill>
          </w14:textFill>
        </w:rPr>
        <w:t xml:space="preserve">章  </w:t>
      </w:r>
      <w:r>
        <w:rPr>
          <w:rFonts w:hint="eastAsia" w:ascii="黑体" w:hAnsi="黑体" w:eastAsia="黑体" w:cs="黑体"/>
          <w:color w:val="000000" w:themeColor="text1"/>
          <w:kern w:val="44"/>
          <w:sz w:val="36"/>
          <w:szCs w:val="36"/>
          <w:u w:color="000000"/>
          <w:lang w:val="zh-TW"/>
          <w14:textFill>
            <w14:solidFill>
              <w14:schemeClr w14:val="tx1"/>
            </w14:solidFill>
          </w14:textFill>
        </w:rPr>
        <w:t>投标文件格式</w:t>
      </w:r>
      <w:bookmarkEnd w:id="57"/>
    </w:p>
    <w:p w14:paraId="37B503AF">
      <w:pPr>
        <w:pStyle w:val="50"/>
        <w:widowControl w:val="0"/>
        <w:ind w:firstLine="0"/>
        <w:jc w:val="center"/>
        <w:rPr>
          <w:rFonts w:ascii="Times New Roman" w:hAnsi="Times New Roman" w:eastAsia="黑体" w:cs="Times New Roman"/>
          <w:bCs/>
          <w:color w:val="000000" w:themeColor="text1"/>
          <w:sz w:val="84"/>
          <w14:textFill>
            <w14:solidFill>
              <w14:schemeClr w14:val="tx1"/>
            </w14:solidFill>
          </w14:textFill>
        </w:rPr>
      </w:pPr>
    </w:p>
    <w:p w14:paraId="4E996440">
      <w:pPr>
        <w:pStyle w:val="50"/>
        <w:widowControl w:val="0"/>
        <w:ind w:firstLine="0"/>
        <w:jc w:val="center"/>
        <w:rPr>
          <w:rFonts w:ascii="Times New Roman" w:hAnsi="Times New Roman" w:eastAsia="黑体" w:cs="Times New Roman"/>
          <w:bCs/>
          <w:color w:val="000000" w:themeColor="text1"/>
          <w:sz w:val="84"/>
          <w14:textFill>
            <w14:solidFill>
              <w14:schemeClr w14:val="tx1"/>
            </w14:solidFill>
          </w14:textFill>
        </w:rPr>
      </w:pPr>
    </w:p>
    <w:p w14:paraId="0D78546F">
      <w:pPr>
        <w:pStyle w:val="50"/>
        <w:widowControl w:val="0"/>
        <w:ind w:firstLine="0"/>
        <w:jc w:val="center"/>
        <w:rPr>
          <w:rFonts w:ascii="Times New Roman" w:hAnsi="Times New Roman" w:eastAsia="黑体" w:cs="Times New Roman"/>
          <w:bCs/>
          <w:color w:val="000000" w:themeColor="text1"/>
          <w:sz w:val="84"/>
          <w14:textFill>
            <w14:solidFill>
              <w14:schemeClr w14:val="tx1"/>
            </w14:solidFill>
          </w14:textFill>
        </w:rPr>
      </w:pPr>
      <w:r>
        <w:rPr>
          <w:rFonts w:hint="eastAsia" w:ascii="Times New Roman" w:hAnsi="Times New Roman" w:eastAsia="黑体" w:cs="Times New Roman"/>
          <w:bCs/>
          <w:color w:val="000000" w:themeColor="text1"/>
          <w:sz w:val="84"/>
          <w14:textFill>
            <w14:solidFill>
              <w14:schemeClr w14:val="tx1"/>
            </w14:solidFill>
          </w14:textFill>
        </w:rPr>
        <w:t>投</w:t>
      </w:r>
      <w:r>
        <w:rPr>
          <w:rFonts w:ascii="Times New Roman" w:hAnsi="Times New Roman" w:eastAsia="黑体" w:cs="Times New Roman"/>
          <w:bCs/>
          <w:color w:val="000000" w:themeColor="text1"/>
          <w:sz w:val="84"/>
          <w14:textFill>
            <w14:solidFill>
              <w14:schemeClr w14:val="tx1"/>
            </w14:solidFill>
          </w14:textFill>
        </w:rPr>
        <w:t xml:space="preserve"> 标 文 件</w:t>
      </w:r>
    </w:p>
    <w:p w14:paraId="13D12B96">
      <w:pPr>
        <w:pStyle w:val="50"/>
        <w:widowControl w:val="0"/>
        <w:ind w:firstLine="0"/>
        <w:jc w:val="center"/>
        <w:rPr>
          <w:rFonts w:ascii="Times New Roman" w:hAnsi="Times New Roman" w:eastAsia="黑体" w:cs="Times New Roman"/>
          <w:bCs/>
          <w:color w:val="000000" w:themeColor="text1"/>
          <w:sz w:val="32"/>
          <w14:textFill>
            <w14:solidFill>
              <w14:schemeClr w14:val="tx1"/>
            </w14:solidFill>
          </w14:textFill>
        </w:rPr>
      </w:pPr>
    </w:p>
    <w:p w14:paraId="24A6FF09">
      <w:pPr>
        <w:pStyle w:val="50"/>
        <w:widowControl w:val="0"/>
        <w:ind w:firstLine="0"/>
        <w:jc w:val="center"/>
        <w:rPr>
          <w:rFonts w:ascii="Times New Roman" w:hAnsi="Times New Roman" w:eastAsia="黑体" w:cs="Times New Roman"/>
          <w:color w:val="000000" w:themeColor="text1"/>
          <w:sz w:val="36"/>
          <w:szCs w:val="36"/>
          <w14:textFill>
            <w14:solidFill>
              <w14:schemeClr w14:val="tx1"/>
            </w14:solidFill>
          </w14:textFill>
        </w:rPr>
      </w:pPr>
      <w:r>
        <w:rPr>
          <w:rFonts w:ascii="Times New Roman" w:hAnsi="Times New Roman" w:eastAsia="黑体" w:cs="Times New Roman"/>
          <w:color w:val="000000" w:themeColor="text1"/>
          <w:sz w:val="36"/>
          <w:szCs w:val="36"/>
          <w14:textFill>
            <w14:solidFill>
              <w14:schemeClr w14:val="tx1"/>
            </w14:solidFill>
          </w14:textFill>
        </w:rPr>
        <w:t>项目名称：</w:t>
      </w:r>
      <w:r>
        <w:rPr>
          <w:rFonts w:hint="eastAsia" w:ascii="Times New Roman" w:hAnsi="Times New Roman" w:eastAsia="黑体" w:cs="Times New Roman"/>
          <w:color w:val="000000" w:themeColor="text1"/>
          <w:sz w:val="36"/>
          <w:szCs w:val="36"/>
          <w14:textFill>
            <w14:solidFill>
              <w14:schemeClr w14:val="tx1"/>
            </w14:solidFill>
          </w14:textFill>
        </w:rPr>
        <w:t>南京机电职业技术学院医务室第三方托管服务项目</w:t>
      </w:r>
    </w:p>
    <w:p w14:paraId="438D82FD">
      <w:pPr>
        <w:pStyle w:val="50"/>
        <w:widowControl w:val="0"/>
        <w:ind w:firstLine="1440" w:firstLineChars="400"/>
        <w:rPr>
          <w:rFonts w:hint="eastAsia" w:ascii="Times New Roman" w:hAnsi="Times New Roman" w:eastAsia="黑体" w:cs="Times New Roman"/>
          <w:color w:val="000000" w:themeColor="text1"/>
          <w:sz w:val="36"/>
          <w:szCs w:val="36"/>
          <w:lang w:val="en-US" w:eastAsia="zh-CN"/>
          <w14:textFill>
            <w14:solidFill>
              <w14:schemeClr w14:val="tx1"/>
            </w14:solidFill>
          </w14:textFill>
        </w:rPr>
      </w:pPr>
      <w:r>
        <w:rPr>
          <w:rFonts w:ascii="Times New Roman" w:hAnsi="Times New Roman" w:eastAsia="黑体" w:cs="Times New Roman"/>
          <w:color w:val="000000" w:themeColor="text1"/>
          <w:sz w:val="36"/>
          <w:szCs w:val="36"/>
          <w14:textFill>
            <w14:solidFill>
              <w14:schemeClr w14:val="tx1"/>
            </w14:solidFill>
          </w14:textFill>
        </w:rPr>
        <w:t>项目编号：</w:t>
      </w:r>
      <w:r>
        <w:rPr>
          <w:rFonts w:hint="eastAsia" w:ascii="Times New Roman" w:hAnsi="Times New Roman" w:eastAsia="黑体" w:cs="Times New Roman"/>
          <w:color w:val="000000" w:themeColor="text1"/>
          <w:sz w:val="36"/>
          <w:szCs w:val="36"/>
          <w14:textFill>
            <w14:solidFill>
              <w14:schemeClr w14:val="tx1"/>
            </w14:solidFill>
          </w14:textFill>
        </w:rPr>
        <w:t>NIMT-ZB-2026001</w:t>
      </w:r>
    </w:p>
    <w:p w14:paraId="20A96ADF">
      <w:pPr>
        <w:spacing w:line="360" w:lineRule="auto"/>
        <w:jc w:val="center"/>
        <w:rPr>
          <w:rFonts w:ascii="黑体" w:hAnsi="黑体" w:eastAsia="黑体" w:cs="仿宋_GB2312"/>
          <w:b/>
          <w:bCs/>
          <w:color w:val="000000" w:themeColor="text1"/>
          <w:sz w:val="28"/>
          <w:szCs w:val="28"/>
          <w:u w:color="000000"/>
          <w14:textFill>
            <w14:solidFill>
              <w14:schemeClr w14:val="tx1"/>
            </w14:solidFill>
          </w14:textFill>
        </w:rPr>
      </w:pPr>
    </w:p>
    <w:p w14:paraId="3314313C">
      <w:pPr>
        <w:spacing w:line="360" w:lineRule="auto"/>
        <w:jc w:val="center"/>
        <w:rPr>
          <w:rFonts w:ascii="黑体" w:hAnsi="黑体" w:eastAsia="黑体" w:cs="仿宋_GB2312"/>
          <w:b/>
          <w:bCs/>
          <w:color w:val="000000" w:themeColor="text1"/>
          <w:sz w:val="28"/>
          <w:szCs w:val="28"/>
          <w:u w:color="000000"/>
          <w14:textFill>
            <w14:solidFill>
              <w14:schemeClr w14:val="tx1"/>
            </w14:solidFill>
          </w14:textFill>
        </w:rPr>
      </w:pPr>
    </w:p>
    <w:p w14:paraId="2C4F1840">
      <w:pPr>
        <w:spacing w:line="360" w:lineRule="auto"/>
        <w:jc w:val="center"/>
        <w:rPr>
          <w:rFonts w:ascii="黑体" w:hAnsi="黑体" w:eastAsia="黑体" w:cs="仿宋_GB2312"/>
          <w:b/>
          <w:bCs/>
          <w:color w:val="000000" w:themeColor="text1"/>
          <w:sz w:val="28"/>
          <w:szCs w:val="28"/>
          <w:u w:color="000000"/>
          <w14:textFill>
            <w14:solidFill>
              <w14:schemeClr w14:val="tx1"/>
            </w14:solidFill>
          </w14:textFill>
        </w:rPr>
      </w:pPr>
    </w:p>
    <w:p w14:paraId="4E062C62">
      <w:pPr>
        <w:spacing w:line="360" w:lineRule="auto"/>
        <w:jc w:val="center"/>
        <w:rPr>
          <w:rFonts w:ascii="黑体" w:hAnsi="黑体" w:eastAsia="黑体" w:cs="仿宋_GB2312"/>
          <w:b/>
          <w:bCs/>
          <w:color w:val="000000" w:themeColor="text1"/>
          <w:sz w:val="28"/>
          <w:szCs w:val="28"/>
          <w:u w:color="000000"/>
          <w14:textFill>
            <w14:solidFill>
              <w14:schemeClr w14:val="tx1"/>
            </w14:solidFill>
          </w14:textFill>
        </w:rPr>
      </w:pPr>
    </w:p>
    <w:p w14:paraId="5B98395D">
      <w:pPr>
        <w:spacing w:line="360" w:lineRule="auto"/>
        <w:jc w:val="center"/>
        <w:rPr>
          <w:rFonts w:ascii="黑体" w:hAnsi="黑体" w:eastAsia="黑体" w:cs="黑体"/>
          <w:color w:val="000000" w:themeColor="text1"/>
          <w:sz w:val="28"/>
          <w:szCs w:val="28"/>
          <w:u w:color="000000"/>
          <w14:textFill>
            <w14:solidFill>
              <w14:schemeClr w14:val="tx1"/>
            </w14:solidFill>
          </w14:textFill>
        </w:rPr>
      </w:pPr>
      <w:r>
        <w:rPr>
          <w:rFonts w:hint="eastAsia" w:ascii="黑体" w:hAnsi="黑体" w:eastAsia="黑体" w:cs="黑体"/>
          <w:color w:val="000000" w:themeColor="text1"/>
          <w:sz w:val="28"/>
          <w:szCs w:val="28"/>
          <w:u w:color="000000"/>
          <w:lang w:val="zh-TW"/>
          <w14:textFill>
            <w14:solidFill>
              <w14:schemeClr w14:val="tx1"/>
            </w14:solidFill>
          </w14:textFill>
        </w:rPr>
        <w:t>投标人</w:t>
      </w:r>
      <w:r>
        <w:rPr>
          <w:rFonts w:ascii="黑体" w:hAnsi="黑体" w:eastAsia="黑体" w:cs="黑体"/>
          <w:color w:val="000000" w:themeColor="text1"/>
          <w:sz w:val="28"/>
          <w:szCs w:val="28"/>
          <w:u w:color="000000"/>
          <w:lang w:val="zh-TW"/>
          <w14:textFill>
            <w14:solidFill>
              <w14:schemeClr w14:val="tx1"/>
            </w14:solidFill>
          </w14:textFill>
        </w:rPr>
        <w:t>：</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r>
        <w:rPr>
          <w:rFonts w:ascii="黑体" w:hAnsi="黑体" w:eastAsia="PMingLiU" w:cs="黑体"/>
          <w:color w:val="000000" w:themeColor="text1"/>
          <w:sz w:val="28"/>
          <w:szCs w:val="28"/>
          <w:u w:val="single"/>
          <w:lang w:val="zh-TW"/>
          <w14:textFill>
            <w14:solidFill>
              <w14:schemeClr w14:val="tx1"/>
            </w14:solidFill>
          </w14:textFill>
        </w:rPr>
        <w:t xml:space="preserve">   </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r>
        <w:rPr>
          <w:rFonts w:ascii="黑体" w:hAnsi="黑体" w:eastAsia="PMingLiU" w:cs="黑体"/>
          <w:color w:val="000000" w:themeColor="text1"/>
          <w:sz w:val="28"/>
          <w:szCs w:val="28"/>
          <w:u w:val="single"/>
          <w:lang w:val="zh-TW"/>
          <w14:textFill>
            <w14:solidFill>
              <w14:schemeClr w14:val="tx1"/>
            </w14:solidFill>
          </w14:textFill>
        </w:rPr>
        <w:t xml:space="preserve"> </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r>
        <w:rPr>
          <w:rFonts w:ascii="黑体" w:hAnsi="黑体" w:eastAsia="黑体" w:cs="黑体"/>
          <w:color w:val="000000" w:themeColor="text1"/>
          <w:sz w:val="28"/>
          <w:szCs w:val="28"/>
          <w:u w:color="000000"/>
          <w:lang w:val="zh-TW"/>
          <w14:textFill>
            <w14:solidFill>
              <w14:schemeClr w14:val="tx1"/>
            </w14:solidFill>
          </w14:textFill>
        </w:rPr>
        <w:t>（盖单位章）</w:t>
      </w:r>
    </w:p>
    <w:p w14:paraId="033BC02B">
      <w:pPr>
        <w:spacing w:line="360" w:lineRule="auto"/>
        <w:jc w:val="center"/>
        <w:rPr>
          <w:rFonts w:ascii="黑体" w:hAnsi="黑体" w:eastAsia="PMingLiU" w:cs="黑体"/>
          <w:color w:val="000000" w:themeColor="text1"/>
          <w:sz w:val="28"/>
          <w:szCs w:val="28"/>
          <w:u w:color="000000"/>
          <w:lang w:val="zh-TW"/>
          <w14:textFill>
            <w14:solidFill>
              <w14:schemeClr w14:val="tx1"/>
            </w14:solidFill>
          </w14:textFill>
        </w:rPr>
      </w:pPr>
      <w:r>
        <w:rPr>
          <w:rFonts w:ascii="黑体" w:hAnsi="黑体" w:eastAsia="黑体" w:cs="黑体"/>
          <w:color w:val="000000" w:themeColor="text1"/>
          <w:sz w:val="28"/>
          <w:szCs w:val="28"/>
          <w:u w:color="000000"/>
          <w:lang w:val="zh-TW"/>
          <w14:textFill>
            <w14:solidFill>
              <w14:schemeClr w14:val="tx1"/>
            </w14:solidFill>
          </w14:textFill>
        </w:rPr>
        <w:t>法定代表人或其委托代理人：</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r>
        <w:rPr>
          <w:rFonts w:ascii="黑体" w:hAnsi="黑体" w:eastAsia="PMingLiU" w:cs="黑体"/>
          <w:color w:val="000000" w:themeColor="text1"/>
          <w:sz w:val="28"/>
          <w:szCs w:val="28"/>
          <w:u w:val="single"/>
          <w:lang w:val="zh-TW"/>
          <w14:textFill>
            <w14:solidFill>
              <w14:schemeClr w14:val="tx1"/>
            </w14:solidFill>
          </w14:textFill>
        </w:rPr>
        <w:t xml:space="preserve"> </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r>
        <w:rPr>
          <w:rFonts w:ascii="黑体" w:hAnsi="黑体" w:eastAsia="黑体" w:cs="黑体"/>
          <w:color w:val="000000" w:themeColor="text1"/>
          <w:sz w:val="28"/>
          <w:szCs w:val="28"/>
          <w:u w:color="000000"/>
          <w:lang w:val="zh-TW"/>
          <w14:textFill>
            <w14:solidFill>
              <w14:schemeClr w14:val="tx1"/>
            </w14:solidFill>
          </w14:textFill>
        </w:rPr>
        <w:t>（签字）</w:t>
      </w:r>
    </w:p>
    <w:p w14:paraId="441BD162">
      <w:pPr>
        <w:spacing w:line="360" w:lineRule="auto"/>
        <w:ind w:firstLine="2380" w:firstLineChars="850"/>
        <w:rPr>
          <w:rFonts w:ascii="黑体" w:hAnsi="黑体" w:eastAsia="PMingLiU" w:cs="黑体"/>
          <w:color w:val="000000" w:themeColor="text1"/>
          <w:sz w:val="28"/>
          <w:szCs w:val="28"/>
          <w:u w:color="000000"/>
          <w:lang w:val="zh-TW"/>
          <w14:textFill>
            <w14:solidFill>
              <w14:schemeClr w14:val="tx1"/>
            </w14:solidFill>
          </w14:textFill>
        </w:rPr>
      </w:pPr>
      <w:r>
        <w:rPr>
          <w:rFonts w:hint="eastAsia" w:ascii="黑体" w:hAnsi="黑体" w:eastAsia="黑体" w:cs="黑体"/>
          <w:color w:val="000000" w:themeColor="text1"/>
          <w:sz w:val="28"/>
          <w:szCs w:val="28"/>
          <w:u w:color="000000"/>
          <w:lang w:val="zh-TW"/>
          <w14:textFill>
            <w14:solidFill>
              <w14:schemeClr w14:val="tx1"/>
            </w14:solidFill>
          </w14:textFill>
        </w:rPr>
        <w:t>联系电话</w:t>
      </w:r>
      <w:r>
        <w:rPr>
          <w:rFonts w:ascii="黑体" w:hAnsi="黑体" w:eastAsia="黑体" w:cs="黑体"/>
          <w:color w:val="000000" w:themeColor="text1"/>
          <w:sz w:val="28"/>
          <w:szCs w:val="28"/>
          <w:u w:color="000000"/>
          <w:lang w:val="zh-TW"/>
          <w14:textFill>
            <w14:solidFill>
              <w14:schemeClr w14:val="tx1"/>
            </w14:solidFill>
          </w14:textFill>
        </w:rPr>
        <w:t>：</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r>
        <w:rPr>
          <w:rFonts w:ascii="黑体" w:hAnsi="黑体" w:eastAsia="PMingLiU" w:cs="黑体"/>
          <w:color w:val="000000" w:themeColor="text1"/>
          <w:sz w:val="28"/>
          <w:szCs w:val="28"/>
          <w:u w:val="single"/>
          <w:lang w:val="zh-TW"/>
          <w14:textFill>
            <w14:solidFill>
              <w14:schemeClr w14:val="tx1"/>
            </w14:solidFill>
          </w14:textFill>
        </w:rPr>
        <w:t xml:space="preserve">           </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p>
    <w:p w14:paraId="7F91D52E">
      <w:pPr>
        <w:spacing w:line="360" w:lineRule="auto"/>
        <w:jc w:val="center"/>
        <w:rPr>
          <w:rFonts w:ascii="黑体" w:hAnsi="黑体" w:eastAsia="黑体" w:cs="Times New Roman"/>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日期</w:t>
      </w:r>
      <w:r>
        <w:rPr>
          <w:rFonts w:ascii="黑体" w:hAnsi="黑体" w:eastAsia="黑体" w:cs="黑体"/>
          <w:color w:val="000000" w:themeColor="text1"/>
          <w:sz w:val="28"/>
          <w:szCs w:val="28"/>
          <w14:textFill>
            <w14:solidFill>
              <w14:schemeClr w14:val="tx1"/>
            </w14:solidFill>
          </w14:textFill>
        </w:rPr>
        <w:t>：</w:t>
      </w:r>
      <w:r>
        <w:rPr>
          <w:rFonts w:ascii="黑体" w:hAnsi="黑体" w:eastAsia="黑体" w:cs="黑体"/>
          <w:color w:val="000000" w:themeColor="text1"/>
          <w:sz w:val="28"/>
          <w:szCs w:val="28"/>
          <w:u w:val="single" w:color="000000"/>
          <w14:textFill>
            <w14:solidFill>
              <w14:schemeClr w14:val="tx1"/>
            </w14:solidFill>
          </w14:textFill>
        </w:rPr>
        <w:t xml:space="preserve">       </w:t>
      </w:r>
      <w:r>
        <w:rPr>
          <w:rFonts w:ascii="黑体" w:hAnsi="黑体" w:eastAsia="黑体" w:cs="黑体"/>
          <w:color w:val="000000" w:themeColor="text1"/>
          <w:sz w:val="28"/>
          <w:szCs w:val="28"/>
          <w:u w:color="000000"/>
          <w:lang w:val="zh-TW"/>
          <w14:textFill>
            <w14:solidFill>
              <w14:schemeClr w14:val="tx1"/>
            </w14:solidFill>
          </w14:textFill>
        </w:rPr>
        <w:t>年</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r>
        <w:rPr>
          <w:rFonts w:ascii="黑体" w:hAnsi="黑体" w:eastAsia="黑体" w:cs="黑体"/>
          <w:color w:val="000000" w:themeColor="text1"/>
          <w:sz w:val="28"/>
          <w:szCs w:val="28"/>
          <w:u w:color="000000"/>
          <w:lang w:val="zh-TW"/>
          <w14:textFill>
            <w14:solidFill>
              <w14:schemeClr w14:val="tx1"/>
            </w14:solidFill>
          </w14:textFill>
        </w:rPr>
        <w:t>月</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r>
        <w:rPr>
          <w:rFonts w:ascii="黑体" w:hAnsi="黑体" w:eastAsia="PMingLiU" w:cs="黑体"/>
          <w:color w:val="000000" w:themeColor="text1"/>
          <w:sz w:val="28"/>
          <w:szCs w:val="28"/>
          <w:u w:val="single"/>
          <w:lang w:val="zh-TW"/>
          <w14:textFill>
            <w14:solidFill>
              <w14:schemeClr w14:val="tx1"/>
            </w14:solidFill>
          </w14:textFill>
        </w:rPr>
        <w:t xml:space="preserve"> </w:t>
      </w:r>
      <w:r>
        <w:rPr>
          <w:rFonts w:hint="eastAsia" w:ascii="黑体" w:hAnsi="黑体" w:eastAsia="黑体" w:cs="黑体"/>
          <w:color w:val="000000" w:themeColor="text1"/>
          <w:sz w:val="28"/>
          <w:szCs w:val="28"/>
          <w:u w:val="single"/>
          <w:lang w:val="zh-TW"/>
          <w14:textFill>
            <w14:solidFill>
              <w14:schemeClr w14:val="tx1"/>
            </w14:solidFill>
          </w14:textFill>
        </w:rPr>
        <w:t xml:space="preserve"> </w:t>
      </w:r>
      <w:r>
        <w:rPr>
          <w:rFonts w:ascii="黑体" w:hAnsi="黑体" w:eastAsia="黑体" w:cs="黑体"/>
          <w:color w:val="000000" w:themeColor="text1"/>
          <w:sz w:val="28"/>
          <w:szCs w:val="28"/>
          <w:u w:color="000000"/>
          <w:lang w:val="zh-TW"/>
          <w14:textFill>
            <w14:solidFill>
              <w14:schemeClr w14:val="tx1"/>
            </w14:solidFill>
          </w14:textFill>
        </w:rPr>
        <w:t>日</w:t>
      </w:r>
    </w:p>
    <w:p w14:paraId="5D9100E0">
      <w:pPr>
        <w:jc w:val="center"/>
        <w:rPr>
          <w:rFonts w:ascii="黑体" w:hAnsi="黑体" w:eastAsia="黑体" w:cs="Times New Roman"/>
          <w:color w:val="000000" w:themeColor="text1"/>
          <w:sz w:val="28"/>
          <w:szCs w:val="28"/>
          <w14:textFill>
            <w14:solidFill>
              <w14:schemeClr w14:val="tx1"/>
            </w14:solidFill>
          </w14:textFill>
        </w:rPr>
      </w:pPr>
      <w:r>
        <w:rPr>
          <w:rFonts w:hint="eastAsia" w:ascii="黑体" w:hAnsi="黑体" w:eastAsia="黑体" w:cs="Times New Roman"/>
          <w:color w:val="000000" w:themeColor="text1"/>
          <w:sz w:val="28"/>
          <w:szCs w:val="28"/>
          <w14:textFill>
            <w14:solidFill>
              <w14:schemeClr w14:val="tx1"/>
            </w14:solidFill>
          </w14:textFill>
        </w:rPr>
        <w:t>资格性和符合性检查响应对照及评分索引表</w:t>
      </w:r>
    </w:p>
    <w:p w14:paraId="23EDE467">
      <w:pPr>
        <w:spacing w:before="156" w:beforeLines="50" w:after="156" w:afterLines="50" w:line="360" w:lineRule="auto"/>
        <w:jc w:val="left"/>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投标人全称（加盖</w:t>
      </w:r>
      <w:r>
        <w:rPr>
          <w:rFonts w:hint="eastAsia" w:ascii="Times New Roman" w:hAnsi="Times New Roman" w:eastAsia="宋体" w:cs="Times New Roman"/>
          <w:color w:val="000000" w:themeColor="text1"/>
          <w:sz w:val="24"/>
          <w:szCs w:val="24"/>
          <w:lang w:eastAsia="zh-CN"/>
          <w14:textFill>
            <w14:solidFill>
              <w14:schemeClr w14:val="tx1"/>
            </w14:solidFill>
          </w14:textFill>
        </w:rPr>
        <w:t>CA公章</w:t>
      </w:r>
      <w:r>
        <w:rPr>
          <w:rFonts w:hint="eastAsia"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p>
    <w:tbl>
      <w:tblPr>
        <w:tblStyle w:val="28"/>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4838"/>
        <w:gridCol w:w="1756"/>
        <w:gridCol w:w="1738"/>
      </w:tblGrid>
      <w:tr w14:paraId="7137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671" w:type="dxa"/>
            <w:vAlign w:val="center"/>
          </w:tcPr>
          <w:p w14:paraId="31D1DEF1">
            <w:pPr>
              <w:snapToGrid w:val="0"/>
              <w:spacing w:line="240" w:lineRule="atLeast"/>
              <w:jc w:val="center"/>
              <w:rPr>
                <w:rFonts w:ascii="Times New Roman" w:hAnsi="Times New Roman" w:eastAsia="宋体" w:cs="Times New Roman"/>
                <w:b/>
                <w:color w:val="000000" w:themeColor="text1"/>
                <w14:textFill>
                  <w14:solidFill>
                    <w14:schemeClr w14:val="tx1"/>
                  </w14:solidFill>
                </w14:textFill>
              </w:rPr>
            </w:pPr>
            <w:r>
              <w:rPr>
                <w:rFonts w:hint="eastAsia" w:ascii="Times New Roman" w:hAnsi="Times New Roman" w:eastAsia="宋体" w:cs="Times New Roman"/>
                <w:b/>
                <w:color w:val="000000" w:themeColor="text1"/>
                <w14:textFill>
                  <w14:solidFill>
                    <w14:schemeClr w14:val="tx1"/>
                  </w14:solidFill>
                </w14:textFill>
              </w:rPr>
              <w:t>序号</w:t>
            </w:r>
          </w:p>
        </w:tc>
        <w:tc>
          <w:tcPr>
            <w:tcW w:w="4838" w:type="dxa"/>
            <w:vAlign w:val="center"/>
          </w:tcPr>
          <w:p w14:paraId="23748E88">
            <w:pPr>
              <w:snapToGrid w:val="0"/>
              <w:spacing w:line="240" w:lineRule="atLeast"/>
              <w:jc w:val="center"/>
              <w:rPr>
                <w:rFonts w:ascii="Times New Roman" w:hAnsi="Times New Roman" w:eastAsia="宋体" w:cs="Times New Roman"/>
                <w:b/>
                <w:color w:val="000000" w:themeColor="text1"/>
                <w14:textFill>
                  <w14:solidFill>
                    <w14:schemeClr w14:val="tx1"/>
                  </w14:solidFill>
                </w14:textFill>
              </w:rPr>
            </w:pPr>
            <w:r>
              <w:rPr>
                <w:rFonts w:hint="eastAsia" w:ascii="Times New Roman" w:hAnsi="Times New Roman" w:eastAsia="宋体" w:cs="Times New Roman"/>
                <w:b/>
                <w:color w:val="000000" w:themeColor="text1"/>
                <w14:textFill>
                  <w14:solidFill>
                    <w14:schemeClr w14:val="tx1"/>
                  </w14:solidFill>
                </w14:textFill>
              </w:rPr>
              <w:t>资格性和符合性检查响应内容</w:t>
            </w:r>
          </w:p>
        </w:tc>
        <w:tc>
          <w:tcPr>
            <w:tcW w:w="1756" w:type="dxa"/>
            <w:vAlign w:val="center"/>
          </w:tcPr>
          <w:p w14:paraId="607619FA">
            <w:pPr>
              <w:snapToGrid w:val="0"/>
              <w:spacing w:line="240" w:lineRule="atLeast"/>
              <w:jc w:val="center"/>
              <w:rPr>
                <w:rFonts w:ascii="Times New Roman" w:hAnsi="Times New Roman" w:eastAsia="宋体" w:cs="Times New Roman"/>
                <w:b/>
                <w:color w:val="000000" w:themeColor="text1"/>
                <w14:textFill>
                  <w14:solidFill>
                    <w14:schemeClr w14:val="tx1"/>
                  </w14:solidFill>
                </w14:textFill>
              </w:rPr>
            </w:pPr>
            <w:r>
              <w:rPr>
                <w:rFonts w:hint="eastAsia" w:ascii="Times New Roman" w:hAnsi="Times New Roman" w:eastAsia="宋体" w:cs="Times New Roman"/>
                <w:b/>
                <w:color w:val="000000" w:themeColor="text1"/>
                <w14:textFill>
                  <w14:solidFill>
                    <w14:schemeClr w14:val="tx1"/>
                  </w14:solidFill>
                </w14:textFill>
              </w:rPr>
              <w:t>是否响应</w:t>
            </w:r>
          </w:p>
          <w:p w14:paraId="3A7E378F">
            <w:pPr>
              <w:snapToGrid w:val="0"/>
              <w:spacing w:line="240" w:lineRule="atLeast"/>
              <w:jc w:val="center"/>
              <w:rPr>
                <w:rFonts w:ascii="Times New Roman" w:hAnsi="Times New Roman" w:eastAsia="宋体" w:cs="Times New Roman"/>
                <w:b/>
                <w:color w:val="000000" w:themeColor="text1"/>
                <w14:textFill>
                  <w14:solidFill>
                    <w14:schemeClr w14:val="tx1"/>
                  </w14:solidFill>
                </w14:textFill>
              </w:rPr>
            </w:pPr>
            <w:r>
              <w:rPr>
                <w:rFonts w:hint="eastAsia" w:ascii="Times New Roman" w:hAnsi="Times New Roman" w:eastAsia="宋体" w:cs="Times New Roman"/>
                <w:b/>
                <w:color w:val="000000" w:themeColor="text1"/>
                <w14:textFill>
                  <w14:solidFill>
                    <w14:schemeClr w14:val="tx1"/>
                  </w14:solidFill>
                </w14:textFill>
              </w:rPr>
              <w:t>（填是或者否）</w:t>
            </w:r>
          </w:p>
        </w:tc>
        <w:tc>
          <w:tcPr>
            <w:tcW w:w="1738" w:type="dxa"/>
            <w:vAlign w:val="center"/>
          </w:tcPr>
          <w:p w14:paraId="70A836CB">
            <w:pPr>
              <w:snapToGrid w:val="0"/>
              <w:spacing w:line="240" w:lineRule="atLeast"/>
              <w:jc w:val="center"/>
              <w:rPr>
                <w:rFonts w:ascii="Times New Roman" w:hAnsi="Times New Roman" w:eastAsia="宋体" w:cs="Times New Roman"/>
                <w:b/>
                <w:color w:val="000000" w:themeColor="text1"/>
                <w14:textFill>
                  <w14:solidFill>
                    <w14:schemeClr w14:val="tx1"/>
                  </w14:solidFill>
                </w14:textFill>
              </w:rPr>
            </w:pPr>
            <w:r>
              <w:rPr>
                <w:rFonts w:hint="eastAsia" w:ascii="Times New Roman" w:hAnsi="Times New Roman" w:eastAsia="宋体" w:cs="Times New Roman"/>
                <w:b/>
                <w:color w:val="000000" w:themeColor="text1"/>
                <w14:textFill>
                  <w14:solidFill>
                    <w14:schemeClr w14:val="tx1"/>
                  </w14:solidFill>
                </w14:textFill>
              </w:rPr>
              <w:t>投标文件中的</w:t>
            </w:r>
          </w:p>
          <w:p w14:paraId="3791C144">
            <w:pPr>
              <w:snapToGrid w:val="0"/>
              <w:spacing w:line="240" w:lineRule="atLeast"/>
              <w:jc w:val="center"/>
              <w:rPr>
                <w:rFonts w:ascii="Times New Roman" w:hAnsi="Times New Roman" w:eastAsia="宋体" w:cs="Times New Roman"/>
                <w:b/>
                <w:color w:val="000000" w:themeColor="text1"/>
                <w14:textFill>
                  <w14:solidFill>
                    <w14:schemeClr w14:val="tx1"/>
                  </w14:solidFill>
                </w14:textFill>
              </w:rPr>
            </w:pPr>
            <w:r>
              <w:rPr>
                <w:rFonts w:hint="eastAsia" w:ascii="Times New Roman" w:hAnsi="Times New Roman" w:eastAsia="宋体" w:cs="Times New Roman"/>
                <w:b/>
                <w:color w:val="000000" w:themeColor="text1"/>
                <w14:textFill>
                  <w14:solidFill>
                    <w14:schemeClr w14:val="tx1"/>
                  </w14:solidFill>
                </w14:textFill>
              </w:rPr>
              <w:t>页码位置</w:t>
            </w:r>
          </w:p>
        </w:tc>
      </w:tr>
      <w:tr w14:paraId="270B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1" w:type="dxa"/>
            <w:vAlign w:val="center"/>
          </w:tcPr>
          <w:p w14:paraId="61E17EC9">
            <w:pPr>
              <w:jc w:val="center"/>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1</w:t>
            </w:r>
          </w:p>
        </w:tc>
        <w:tc>
          <w:tcPr>
            <w:tcW w:w="4838" w:type="dxa"/>
            <w:vAlign w:val="center"/>
          </w:tcPr>
          <w:p w14:paraId="30412314">
            <w:pPr>
              <w:spacing w:line="480" w:lineRule="exact"/>
              <w:rPr>
                <w:rFonts w:ascii="Times New Roman" w:hAnsi="Times New Roman" w:eastAsia="宋体" w:cs="Times New Roman"/>
                <w:iCs/>
                <w:color w:val="000000" w:themeColor="text1"/>
                <w14:textFill>
                  <w14:solidFill>
                    <w14:schemeClr w14:val="tx1"/>
                  </w14:solidFill>
                </w14:textFill>
              </w:rPr>
            </w:pPr>
          </w:p>
        </w:tc>
        <w:tc>
          <w:tcPr>
            <w:tcW w:w="1756" w:type="dxa"/>
            <w:vAlign w:val="center"/>
          </w:tcPr>
          <w:p w14:paraId="290F8F81">
            <w:pPr>
              <w:rPr>
                <w:rFonts w:ascii="Times New Roman" w:hAnsi="Times New Roman" w:eastAsia="宋体" w:cs="Times New Roman"/>
                <w:b/>
                <w:color w:val="000000" w:themeColor="text1"/>
                <w14:textFill>
                  <w14:solidFill>
                    <w14:schemeClr w14:val="tx1"/>
                  </w14:solidFill>
                </w14:textFill>
              </w:rPr>
            </w:pPr>
          </w:p>
        </w:tc>
        <w:tc>
          <w:tcPr>
            <w:tcW w:w="1738" w:type="dxa"/>
            <w:vAlign w:val="center"/>
          </w:tcPr>
          <w:p w14:paraId="2C9A0DFF">
            <w:pPr>
              <w:rPr>
                <w:rFonts w:ascii="Times New Roman" w:hAnsi="Times New Roman" w:eastAsia="宋体" w:cs="Times New Roman"/>
                <w:b/>
                <w:color w:val="000000" w:themeColor="text1"/>
                <w14:textFill>
                  <w14:solidFill>
                    <w14:schemeClr w14:val="tx1"/>
                  </w14:solidFill>
                </w14:textFill>
              </w:rPr>
            </w:pPr>
          </w:p>
        </w:tc>
      </w:tr>
      <w:tr w14:paraId="113B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1" w:type="dxa"/>
            <w:vAlign w:val="center"/>
          </w:tcPr>
          <w:p w14:paraId="772B62B1">
            <w:pPr>
              <w:jc w:val="center"/>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2</w:t>
            </w:r>
          </w:p>
        </w:tc>
        <w:tc>
          <w:tcPr>
            <w:tcW w:w="4838" w:type="dxa"/>
            <w:vAlign w:val="center"/>
          </w:tcPr>
          <w:p w14:paraId="04493770">
            <w:pPr>
              <w:snapToGrid w:val="0"/>
              <w:spacing w:before="50" w:after="156" w:afterLines="50"/>
              <w:rPr>
                <w:rFonts w:ascii="Times New Roman" w:hAnsi="Times New Roman" w:eastAsia="宋体" w:cs="Times New Roman"/>
                <w:b/>
                <w:color w:val="000000" w:themeColor="text1"/>
                <w:sz w:val="28"/>
                <w:szCs w:val="28"/>
                <w14:textFill>
                  <w14:solidFill>
                    <w14:schemeClr w14:val="tx1"/>
                  </w14:solidFill>
                </w14:textFill>
              </w:rPr>
            </w:pPr>
          </w:p>
        </w:tc>
        <w:tc>
          <w:tcPr>
            <w:tcW w:w="1756" w:type="dxa"/>
            <w:vAlign w:val="center"/>
          </w:tcPr>
          <w:p w14:paraId="69AE25CA">
            <w:pPr>
              <w:rPr>
                <w:rFonts w:ascii="Times New Roman" w:hAnsi="Times New Roman" w:eastAsia="宋体" w:cs="Times New Roman"/>
                <w:color w:val="000000" w:themeColor="text1"/>
                <w14:textFill>
                  <w14:solidFill>
                    <w14:schemeClr w14:val="tx1"/>
                  </w14:solidFill>
                </w14:textFill>
              </w:rPr>
            </w:pPr>
          </w:p>
        </w:tc>
        <w:tc>
          <w:tcPr>
            <w:tcW w:w="1738" w:type="dxa"/>
            <w:vAlign w:val="center"/>
          </w:tcPr>
          <w:p w14:paraId="65C761CA">
            <w:pPr>
              <w:rPr>
                <w:rFonts w:ascii="Times New Roman" w:hAnsi="Times New Roman" w:eastAsia="宋体" w:cs="Times New Roman"/>
                <w:color w:val="000000" w:themeColor="text1"/>
                <w14:textFill>
                  <w14:solidFill>
                    <w14:schemeClr w14:val="tx1"/>
                  </w14:solidFill>
                </w14:textFill>
              </w:rPr>
            </w:pPr>
          </w:p>
        </w:tc>
      </w:tr>
      <w:tr w14:paraId="347B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1" w:type="dxa"/>
            <w:vAlign w:val="center"/>
          </w:tcPr>
          <w:p w14:paraId="3AF6949E">
            <w:pPr>
              <w:jc w:val="center"/>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3</w:t>
            </w:r>
          </w:p>
        </w:tc>
        <w:tc>
          <w:tcPr>
            <w:tcW w:w="4838" w:type="dxa"/>
            <w:vAlign w:val="center"/>
          </w:tcPr>
          <w:p w14:paraId="62DE6FC1">
            <w:pPr>
              <w:spacing w:line="480" w:lineRule="exact"/>
              <w:rPr>
                <w:rFonts w:ascii="Times New Roman" w:hAnsi="Times New Roman" w:eastAsia="宋体" w:cs="Times New Roman"/>
                <w:iCs/>
                <w:color w:val="000000" w:themeColor="text1"/>
                <w14:textFill>
                  <w14:solidFill>
                    <w14:schemeClr w14:val="tx1"/>
                  </w14:solidFill>
                </w14:textFill>
              </w:rPr>
            </w:pPr>
          </w:p>
        </w:tc>
        <w:tc>
          <w:tcPr>
            <w:tcW w:w="1756" w:type="dxa"/>
            <w:vAlign w:val="center"/>
          </w:tcPr>
          <w:p w14:paraId="1D07C1E6">
            <w:pPr>
              <w:rPr>
                <w:rFonts w:ascii="Times New Roman" w:hAnsi="Times New Roman" w:eastAsia="宋体" w:cs="Times New Roman"/>
                <w:color w:val="000000" w:themeColor="text1"/>
                <w14:textFill>
                  <w14:solidFill>
                    <w14:schemeClr w14:val="tx1"/>
                  </w14:solidFill>
                </w14:textFill>
              </w:rPr>
            </w:pPr>
          </w:p>
        </w:tc>
        <w:tc>
          <w:tcPr>
            <w:tcW w:w="1738" w:type="dxa"/>
            <w:vAlign w:val="center"/>
          </w:tcPr>
          <w:p w14:paraId="7F2E9D46">
            <w:pPr>
              <w:rPr>
                <w:rFonts w:ascii="Times New Roman" w:hAnsi="Times New Roman" w:eastAsia="宋体" w:cs="Times New Roman"/>
                <w:color w:val="000000" w:themeColor="text1"/>
                <w14:textFill>
                  <w14:solidFill>
                    <w14:schemeClr w14:val="tx1"/>
                  </w14:solidFill>
                </w14:textFill>
              </w:rPr>
            </w:pPr>
          </w:p>
        </w:tc>
      </w:tr>
      <w:tr w14:paraId="5671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1" w:type="dxa"/>
            <w:vAlign w:val="center"/>
          </w:tcPr>
          <w:p w14:paraId="5DC5576C">
            <w:pPr>
              <w:jc w:val="center"/>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4</w:t>
            </w:r>
          </w:p>
        </w:tc>
        <w:tc>
          <w:tcPr>
            <w:tcW w:w="4838" w:type="dxa"/>
            <w:vAlign w:val="center"/>
          </w:tcPr>
          <w:p w14:paraId="65354F68">
            <w:pPr>
              <w:spacing w:line="360" w:lineRule="auto"/>
              <w:rPr>
                <w:rFonts w:ascii="Times New Roman" w:hAnsi="Times New Roman" w:eastAsia="宋体" w:cs="Times New Roman"/>
                <w:iCs/>
                <w:color w:val="000000" w:themeColor="text1"/>
                <w14:textFill>
                  <w14:solidFill>
                    <w14:schemeClr w14:val="tx1"/>
                  </w14:solidFill>
                </w14:textFill>
              </w:rPr>
            </w:pPr>
          </w:p>
        </w:tc>
        <w:tc>
          <w:tcPr>
            <w:tcW w:w="1756" w:type="dxa"/>
            <w:vAlign w:val="center"/>
          </w:tcPr>
          <w:p w14:paraId="28FACE79">
            <w:pPr>
              <w:rPr>
                <w:rFonts w:ascii="Times New Roman" w:hAnsi="Times New Roman" w:eastAsia="宋体" w:cs="Times New Roman"/>
                <w:color w:val="000000" w:themeColor="text1"/>
                <w14:textFill>
                  <w14:solidFill>
                    <w14:schemeClr w14:val="tx1"/>
                  </w14:solidFill>
                </w14:textFill>
              </w:rPr>
            </w:pPr>
          </w:p>
        </w:tc>
        <w:tc>
          <w:tcPr>
            <w:tcW w:w="1738" w:type="dxa"/>
            <w:vAlign w:val="center"/>
          </w:tcPr>
          <w:p w14:paraId="7A13C14A">
            <w:pPr>
              <w:rPr>
                <w:rFonts w:ascii="Times New Roman" w:hAnsi="Times New Roman" w:eastAsia="宋体" w:cs="Times New Roman"/>
                <w:color w:val="000000" w:themeColor="text1"/>
                <w14:textFill>
                  <w14:solidFill>
                    <w14:schemeClr w14:val="tx1"/>
                  </w14:solidFill>
                </w14:textFill>
              </w:rPr>
            </w:pPr>
          </w:p>
        </w:tc>
      </w:tr>
      <w:tr w14:paraId="6D7C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671" w:type="dxa"/>
            <w:vAlign w:val="center"/>
          </w:tcPr>
          <w:p w14:paraId="4A976CDA">
            <w:pPr>
              <w:jc w:val="center"/>
              <w:rPr>
                <w:rFonts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5</w:t>
            </w:r>
          </w:p>
        </w:tc>
        <w:tc>
          <w:tcPr>
            <w:tcW w:w="4838" w:type="dxa"/>
            <w:vAlign w:val="center"/>
          </w:tcPr>
          <w:p w14:paraId="033072F4">
            <w:pPr>
              <w:snapToGrid w:val="0"/>
              <w:spacing w:line="590" w:lineRule="atLeast"/>
              <w:rPr>
                <w:rFonts w:ascii="Times New Roman" w:hAnsi="Times New Roman" w:eastAsia="宋体" w:cs="Times New Roman"/>
                <w:iCs/>
                <w:color w:val="000000" w:themeColor="text1"/>
                <w14:textFill>
                  <w14:solidFill>
                    <w14:schemeClr w14:val="tx1"/>
                  </w14:solidFill>
                </w14:textFill>
              </w:rPr>
            </w:pPr>
          </w:p>
        </w:tc>
        <w:tc>
          <w:tcPr>
            <w:tcW w:w="1756" w:type="dxa"/>
            <w:vAlign w:val="center"/>
          </w:tcPr>
          <w:p w14:paraId="41FD194B">
            <w:pPr>
              <w:rPr>
                <w:rFonts w:ascii="Times New Roman" w:hAnsi="Times New Roman" w:eastAsia="宋体" w:cs="Times New Roman"/>
                <w:color w:val="000000" w:themeColor="text1"/>
                <w14:textFill>
                  <w14:solidFill>
                    <w14:schemeClr w14:val="tx1"/>
                  </w14:solidFill>
                </w14:textFill>
              </w:rPr>
            </w:pPr>
          </w:p>
        </w:tc>
        <w:tc>
          <w:tcPr>
            <w:tcW w:w="1738" w:type="dxa"/>
            <w:vAlign w:val="center"/>
          </w:tcPr>
          <w:p w14:paraId="7AC94097">
            <w:pPr>
              <w:rPr>
                <w:rFonts w:ascii="Times New Roman" w:hAnsi="Times New Roman" w:eastAsia="宋体" w:cs="Times New Roman"/>
                <w:color w:val="000000" w:themeColor="text1"/>
                <w14:textFill>
                  <w14:solidFill>
                    <w14:schemeClr w14:val="tx1"/>
                  </w14:solidFill>
                </w14:textFill>
              </w:rPr>
            </w:pPr>
          </w:p>
        </w:tc>
      </w:tr>
      <w:tr w14:paraId="30C5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5509" w:type="dxa"/>
            <w:gridSpan w:val="2"/>
            <w:tcBorders>
              <w:top w:val="single" w:color="000000" w:sz="4" w:space="0"/>
              <w:left w:val="single" w:color="000000" w:sz="4" w:space="0"/>
              <w:bottom w:val="single" w:color="000000" w:sz="4" w:space="0"/>
              <w:right w:val="single" w:color="000000" w:sz="4" w:space="0"/>
            </w:tcBorders>
            <w:vAlign w:val="center"/>
          </w:tcPr>
          <w:p w14:paraId="7E3DB286">
            <w:pPr>
              <w:spacing w:line="360" w:lineRule="auto"/>
              <w:jc w:val="center"/>
              <w:rPr>
                <w:rFonts w:ascii="Times New Roman" w:hAnsi="Times New Roman" w:eastAsia="宋体" w:cs="Times New Roman"/>
                <w:b/>
                <w:bCs/>
                <w:color w:val="000000" w:themeColor="text1"/>
                <w14:textFill>
                  <w14:solidFill>
                    <w14:schemeClr w14:val="tx1"/>
                  </w14:solidFill>
                </w14:textFill>
              </w:rPr>
            </w:pPr>
            <w:r>
              <w:rPr>
                <w:rFonts w:hint="eastAsia" w:ascii="Times New Roman" w:hAnsi="Times New Roman" w:eastAsia="宋体" w:cs="Times New Roman"/>
                <w:b/>
                <w:bCs/>
                <w:color w:val="000000" w:themeColor="text1"/>
                <w14:textFill>
                  <w14:solidFill>
                    <w14:schemeClr w14:val="tx1"/>
                  </w14:solidFill>
                </w14:textFill>
              </w:rPr>
              <w:t>评分项</w:t>
            </w:r>
          </w:p>
        </w:tc>
        <w:tc>
          <w:tcPr>
            <w:tcW w:w="3494" w:type="dxa"/>
            <w:gridSpan w:val="2"/>
            <w:tcBorders>
              <w:top w:val="single" w:color="000000" w:sz="4" w:space="0"/>
              <w:left w:val="nil"/>
              <w:bottom w:val="single" w:color="000000" w:sz="4" w:space="0"/>
              <w:right w:val="single" w:color="000000" w:sz="4" w:space="0"/>
            </w:tcBorders>
            <w:vAlign w:val="center"/>
          </w:tcPr>
          <w:p w14:paraId="6D23FD21">
            <w:pPr>
              <w:spacing w:line="360" w:lineRule="auto"/>
              <w:jc w:val="center"/>
              <w:rPr>
                <w:rFonts w:ascii="Times New Roman" w:hAnsi="Times New Roman" w:eastAsia="宋体" w:cs="Times New Roman"/>
                <w:b/>
                <w:bCs/>
                <w:color w:val="000000" w:themeColor="text1"/>
                <w14:textFill>
                  <w14:solidFill>
                    <w14:schemeClr w14:val="tx1"/>
                  </w14:solidFill>
                </w14:textFill>
              </w:rPr>
            </w:pPr>
            <w:r>
              <w:rPr>
                <w:rFonts w:hint="eastAsia" w:ascii="Times New Roman" w:hAnsi="Times New Roman" w:eastAsia="宋体" w:cs="Times New Roman"/>
                <w:b/>
                <w:bCs/>
                <w:color w:val="000000" w:themeColor="text1"/>
                <w14:textFill>
                  <w14:solidFill>
                    <w14:schemeClr w14:val="tx1"/>
                  </w14:solidFill>
                </w14:textFill>
              </w:rPr>
              <w:t>在投标文件中的页码位置</w:t>
            </w:r>
          </w:p>
        </w:tc>
      </w:tr>
      <w:tr w14:paraId="1AC49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5509" w:type="dxa"/>
            <w:gridSpan w:val="2"/>
            <w:tcBorders>
              <w:top w:val="single" w:color="000000" w:sz="4" w:space="0"/>
              <w:left w:val="single" w:color="000000" w:sz="4" w:space="0"/>
              <w:bottom w:val="single" w:color="000000" w:sz="4" w:space="0"/>
              <w:right w:val="single" w:color="000000" w:sz="4" w:space="0"/>
            </w:tcBorders>
            <w:vAlign w:val="center"/>
          </w:tcPr>
          <w:p w14:paraId="209EB366">
            <w:pPr>
              <w:spacing w:line="360" w:lineRule="auto"/>
              <w:rPr>
                <w:rFonts w:ascii="Times New Roman" w:hAnsi="Times New Roman" w:eastAsia="宋体" w:cs="Times New Roman"/>
                <w:color w:val="000000" w:themeColor="text1"/>
                <w14:textFill>
                  <w14:solidFill>
                    <w14:schemeClr w14:val="tx1"/>
                  </w14:solidFill>
                </w14:textFill>
              </w:rPr>
            </w:pPr>
          </w:p>
        </w:tc>
        <w:tc>
          <w:tcPr>
            <w:tcW w:w="3494" w:type="dxa"/>
            <w:gridSpan w:val="2"/>
            <w:tcBorders>
              <w:top w:val="single" w:color="000000" w:sz="4" w:space="0"/>
              <w:left w:val="nil"/>
              <w:bottom w:val="single" w:color="000000" w:sz="4" w:space="0"/>
              <w:right w:val="single" w:color="000000" w:sz="4" w:space="0"/>
            </w:tcBorders>
            <w:vAlign w:val="center"/>
          </w:tcPr>
          <w:p w14:paraId="529747FC">
            <w:pPr>
              <w:spacing w:line="360" w:lineRule="auto"/>
              <w:ind w:firstLine="420"/>
              <w:jc w:val="center"/>
              <w:rPr>
                <w:rFonts w:ascii="Times New Roman" w:hAnsi="Times New Roman" w:eastAsia="宋体" w:cs="Times New Roman"/>
                <w:b/>
                <w:bCs/>
                <w:color w:val="000000" w:themeColor="text1"/>
                <w14:textFill>
                  <w14:solidFill>
                    <w14:schemeClr w14:val="tx1"/>
                  </w14:solidFill>
                </w14:textFill>
              </w:rPr>
            </w:pPr>
          </w:p>
        </w:tc>
      </w:tr>
      <w:tr w14:paraId="4A42D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71" w:type="dxa"/>
            <w:vMerge w:val="restart"/>
            <w:tcBorders>
              <w:top w:val="nil"/>
              <w:left w:val="single" w:color="000000" w:sz="4" w:space="0"/>
              <w:bottom w:val="single" w:color="000000" w:sz="4" w:space="0"/>
              <w:right w:val="single" w:color="000000" w:sz="4" w:space="0"/>
            </w:tcBorders>
            <w:vAlign w:val="center"/>
          </w:tcPr>
          <w:p w14:paraId="16C1FD06">
            <w:pPr>
              <w:spacing w:line="360" w:lineRule="auto"/>
              <w:jc w:val="center"/>
              <w:rPr>
                <w:rFonts w:ascii="Times New Roman" w:hAnsi="Times New Roman" w:eastAsia="宋体" w:cs="Times New Roman"/>
                <w:b/>
                <w:bCs/>
                <w:color w:val="000000" w:themeColor="text1"/>
                <w14:textFill>
                  <w14:solidFill>
                    <w14:schemeClr w14:val="tx1"/>
                  </w14:solidFill>
                </w14:textFill>
              </w:rPr>
            </w:pPr>
          </w:p>
        </w:tc>
        <w:tc>
          <w:tcPr>
            <w:tcW w:w="4838" w:type="dxa"/>
            <w:tcBorders>
              <w:top w:val="single" w:color="000000" w:sz="4" w:space="0"/>
              <w:left w:val="nil"/>
              <w:bottom w:val="single" w:color="000000" w:sz="4" w:space="0"/>
              <w:right w:val="single" w:color="000000" w:sz="4" w:space="0"/>
            </w:tcBorders>
            <w:vAlign w:val="center"/>
          </w:tcPr>
          <w:p w14:paraId="28224F1B">
            <w:pPr>
              <w:spacing w:line="360" w:lineRule="auto"/>
              <w:rPr>
                <w:rFonts w:ascii="Times New Roman" w:hAnsi="Times New Roman" w:eastAsia="宋体" w:cs="Times New Roman"/>
                <w:color w:val="000000" w:themeColor="text1"/>
                <w14:textFill>
                  <w14:solidFill>
                    <w14:schemeClr w14:val="tx1"/>
                  </w14:solidFill>
                </w14:textFill>
              </w:rPr>
            </w:pPr>
          </w:p>
        </w:tc>
        <w:tc>
          <w:tcPr>
            <w:tcW w:w="3494" w:type="dxa"/>
            <w:gridSpan w:val="2"/>
            <w:tcBorders>
              <w:top w:val="single" w:color="000000" w:sz="4" w:space="0"/>
              <w:left w:val="nil"/>
              <w:bottom w:val="single" w:color="000000" w:sz="4" w:space="0"/>
              <w:right w:val="single" w:color="000000" w:sz="4" w:space="0"/>
            </w:tcBorders>
            <w:vAlign w:val="center"/>
          </w:tcPr>
          <w:p w14:paraId="4A268007">
            <w:pPr>
              <w:spacing w:line="360" w:lineRule="auto"/>
              <w:ind w:firstLine="420"/>
              <w:jc w:val="center"/>
              <w:rPr>
                <w:rFonts w:ascii="Times New Roman" w:hAnsi="Times New Roman" w:eastAsia="宋体" w:cs="Times New Roman"/>
                <w:b/>
                <w:bCs/>
                <w:color w:val="000000" w:themeColor="text1"/>
                <w14:textFill>
                  <w14:solidFill>
                    <w14:schemeClr w14:val="tx1"/>
                  </w14:solidFill>
                </w14:textFill>
              </w:rPr>
            </w:pPr>
          </w:p>
        </w:tc>
      </w:tr>
      <w:tr w14:paraId="753BE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71" w:type="dxa"/>
            <w:vMerge w:val="continue"/>
            <w:tcBorders>
              <w:top w:val="nil"/>
              <w:left w:val="single" w:color="000000" w:sz="4" w:space="0"/>
              <w:bottom w:val="single" w:color="000000" w:sz="4" w:space="0"/>
              <w:right w:val="single" w:color="000000" w:sz="4" w:space="0"/>
            </w:tcBorders>
            <w:vAlign w:val="center"/>
          </w:tcPr>
          <w:p w14:paraId="2C9E981C">
            <w:pPr>
              <w:spacing w:line="360" w:lineRule="auto"/>
              <w:rPr>
                <w:rFonts w:ascii="Times New Roman" w:hAnsi="Times New Roman" w:eastAsia="宋体" w:cs="Times New Roman"/>
                <w:b/>
                <w:bCs/>
                <w:color w:val="000000" w:themeColor="text1"/>
                <w14:textFill>
                  <w14:solidFill>
                    <w14:schemeClr w14:val="tx1"/>
                  </w14:solidFill>
                </w14:textFill>
              </w:rPr>
            </w:pPr>
          </w:p>
        </w:tc>
        <w:tc>
          <w:tcPr>
            <w:tcW w:w="4838" w:type="dxa"/>
            <w:tcBorders>
              <w:top w:val="single" w:color="000000" w:sz="4" w:space="0"/>
              <w:left w:val="nil"/>
              <w:bottom w:val="single" w:color="000000" w:sz="4" w:space="0"/>
              <w:right w:val="single" w:color="000000" w:sz="4" w:space="0"/>
            </w:tcBorders>
            <w:vAlign w:val="center"/>
          </w:tcPr>
          <w:p w14:paraId="1544D4FB">
            <w:pPr>
              <w:spacing w:line="360" w:lineRule="auto"/>
              <w:rPr>
                <w:rFonts w:ascii="Times New Roman" w:hAnsi="Times New Roman" w:eastAsia="宋体" w:cs="Times New Roman"/>
                <w:color w:val="000000" w:themeColor="text1"/>
                <w14:textFill>
                  <w14:solidFill>
                    <w14:schemeClr w14:val="tx1"/>
                  </w14:solidFill>
                </w14:textFill>
              </w:rPr>
            </w:pPr>
          </w:p>
        </w:tc>
        <w:tc>
          <w:tcPr>
            <w:tcW w:w="3494" w:type="dxa"/>
            <w:gridSpan w:val="2"/>
            <w:tcBorders>
              <w:top w:val="single" w:color="000000" w:sz="4" w:space="0"/>
              <w:left w:val="nil"/>
              <w:bottom w:val="single" w:color="000000" w:sz="4" w:space="0"/>
              <w:right w:val="single" w:color="000000" w:sz="4" w:space="0"/>
            </w:tcBorders>
            <w:vAlign w:val="center"/>
          </w:tcPr>
          <w:p w14:paraId="0FCB2E0B">
            <w:pPr>
              <w:spacing w:line="360" w:lineRule="auto"/>
              <w:ind w:firstLine="420"/>
              <w:jc w:val="center"/>
              <w:rPr>
                <w:rFonts w:ascii="Times New Roman" w:hAnsi="Times New Roman" w:eastAsia="宋体" w:cs="Times New Roman"/>
                <w:b/>
                <w:bCs/>
                <w:color w:val="000000" w:themeColor="text1"/>
                <w14:textFill>
                  <w14:solidFill>
                    <w14:schemeClr w14:val="tx1"/>
                  </w14:solidFill>
                </w14:textFill>
              </w:rPr>
            </w:pPr>
          </w:p>
        </w:tc>
      </w:tr>
      <w:tr w14:paraId="46F6B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71" w:type="dxa"/>
            <w:vMerge w:val="continue"/>
            <w:tcBorders>
              <w:top w:val="nil"/>
              <w:left w:val="single" w:color="000000" w:sz="4" w:space="0"/>
              <w:bottom w:val="single" w:color="000000" w:sz="4" w:space="0"/>
              <w:right w:val="single" w:color="000000" w:sz="4" w:space="0"/>
            </w:tcBorders>
            <w:vAlign w:val="center"/>
          </w:tcPr>
          <w:p w14:paraId="735421A1">
            <w:pPr>
              <w:spacing w:line="360" w:lineRule="auto"/>
              <w:rPr>
                <w:rFonts w:ascii="Times New Roman" w:hAnsi="Times New Roman" w:eastAsia="宋体" w:cs="Times New Roman"/>
                <w:b/>
                <w:bCs/>
                <w:color w:val="000000" w:themeColor="text1"/>
                <w14:textFill>
                  <w14:solidFill>
                    <w14:schemeClr w14:val="tx1"/>
                  </w14:solidFill>
                </w14:textFill>
              </w:rPr>
            </w:pPr>
          </w:p>
        </w:tc>
        <w:tc>
          <w:tcPr>
            <w:tcW w:w="4838" w:type="dxa"/>
            <w:tcBorders>
              <w:top w:val="single" w:color="000000" w:sz="4" w:space="0"/>
              <w:left w:val="nil"/>
              <w:bottom w:val="single" w:color="000000" w:sz="4" w:space="0"/>
              <w:right w:val="single" w:color="000000" w:sz="4" w:space="0"/>
            </w:tcBorders>
            <w:vAlign w:val="center"/>
          </w:tcPr>
          <w:p w14:paraId="25EE4274">
            <w:pPr>
              <w:spacing w:line="360" w:lineRule="auto"/>
              <w:rPr>
                <w:rFonts w:ascii="Times New Roman" w:hAnsi="Times New Roman" w:eastAsia="宋体" w:cs="Times New Roman"/>
                <w:color w:val="000000" w:themeColor="text1"/>
                <w14:textFill>
                  <w14:solidFill>
                    <w14:schemeClr w14:val="tx1"/>
                  </w14:solidFill>
                </w14:textFill>
              </w:rPr>
            </w:pPr>
          </w:p>
        </w:tc>
        <w:tc>
          <w:tcPr>
            <w:tcW w:w="3494" w:type="dxa"/>
            <w:gridSpan w:val="2"/>
            <w:tcBorders>
              <w:top w:val="single" w:color="000000" w:sz="4" w:space="0"/>
              <w:left w:val="nil"/>
              <w:bottom w:val="single" w:color="000000" w:sz="4" w:space="0"/>
              <w:right w:val="single" w:color="000000" w:sz="4" w:space="0"/>
            </w:tcBorders>
            <w:vAlign w:val="center"/>
          </w:tcPr>
          <w:p w14:paraId="4E8E9C0D">
            <w:pPr>
              <w:spacing w:line="360" w:lineRule="auto"/>
              <w:ind w:firstLine="420"/>
              <w:jc w:val="center"/>
              <w:rPr>
                <w:rFonts w:ascii="Times New Roman" w:hAnsi="Times New Roman" w:eastAsia="宋体" w:cs="Times New Roman"/>
                <w:b/>
                <w:bCs/>
                <w:color w:val="000000" w:themeColor="text1"/>
                <w14:textFill>
                  <w14:solidFill>
                    <w14:schemeClr w14:val="tx1"/>
                  </w14:solidFill>
                </w14:textFill>
              </w:rPr>
            </w:pPr>
          </w:p>
        </w:tc>
      </w:tr>
      <w:tr w14:paraId="73310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71" w:type="dxa"/>
            <w:vMerge w:val="restart"/>
            <w:tcBorders>
              <w:top w:val="nil"/>
              <w:left w:val="single" w:color="000000" w:sz="4" w:space="0"/>
              <w:bottom w:val="single" w:color="000000" w:sz="4" w:space="0"/>
              <w:right w:val="single" w:color="000000" w:sz="4" w:space="0"/>
            </w:tcBorders>
            <w:vAlign w:val="center"/>
          </w:tcPr>
          <w:p w14:paraId="43486BF4">
            <w:pPr>
              <w:spacing w:line="360" w:lineRule="auto"/>
              <w:jc w:val="center"/>
              <w:rPr>
                <w:rFonts w:ascii="Times New Roman" w:hAnsi="Times New Roman" w:eastAsia="宋体" w:cs="Times New Roman"/>
                <w:b/>
                <w:bCs/>
                <w:color w:val="000000" w:themeColor="text1"/>
                <w14:textFill>
                  <w14:solidFill>
                    <w14:schemeClr w14:val="tx1"/>
                  </w14:solidFill>
                </w14:textFill>
              </w:rPr>
            </w:pPr>
          </w:p>
        </w:tc>
        <w:tc>
          <w:tcPr>
            <w:tcW w:w="4838" w:type="dxa"/>
            <w:tcBorders>
              <w:top w:val="single" w:color="000000" w:sz="4" w:space="0"/>
              <w:left w:val="nil"/>
              <w:bottom w:val="single" w:color="000000" w:sz="4" w:space="0"/>
              <w:right w:val="single" w:color="000000" w:sz="4" w:space="0"/>
            </w:tcBorders>
            <w:vAlign w:val="center"/>
          </w:tcPr>
          <w:p w14:paraId="492781E1">
            <w:pPr>
              <w:spacing w:line="360" w:lineRule="auto"/>
              <w:rPr>
                <w:rFonts w:ascii="Times New Roman" w:hAnsi="Times New Roman" w:eastAsia="宋体" w:cs="Times New Roman"/>
                <w:color w:val="000000" w:themeColor="text1"/>
                <w14:textFill>
                  <w14:solidFill>
                    <w14:schemeClr w14:val="tx1"/>
                  </w14:solidFill>
                </w14:textFill>
              </w:rPr>
            </w:pPr>
          </w:p>
        </w:tc>
        <w:tc>
          <w:tcPr>
            <w:tcW w:w="3494" w:type="dxa"/>
            <w:gridSpan w:val="2"/>
            <w:tcBorders>
              <w:top w:val="single" w:color="000000" w:sz="4" w:space="0"/>
              <w:left w:val="nil"/>
              <w:bottom w:val="single" w:color="000000" w:sz="4" w:space="0"/>
              <w:right w:val="single" w:color="000000" w:sz="4" w:space="0"/>
            </w:tcBorders>
            <w:vAlign w:val="center"/>
          </w:tcPr>
          <w:p w14:paraId="0219F5C2">
            <w:pPr>
              <w:spacing w:line="360" w:lineRule="auto"/>
              <w:ind w:firstLine="420"/>
              <w:jc w:val="center"/>
              <w:rPr>
                <w:rFonts w:ascii="Times New Roman" w:hAnsi="Times New Roman" w:eastAsia="宋体" w:cs="Times New Roman"/>
                <w:b/>
                <w:bCs/>
                <w:color w:val="000000" w:themeColor="text1"/>
                <w14:textFill>
                  <w14:solidFill>
                    <w14:schemeClr w14:val="tx1"/>
                  </w14:solidFill>
                </w14:textFill>
              </w:rPr>
            </w:pPr>
          </w:p>
        </w:tc>
      </w:tr>
      <w:tr w14:paraId="4813E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71" w:type="dxa"/>
            <w:vMerge w:val="continue"/>
            <w:tcBorders>
              <w:top w:val="nil"/>
              <w:left w:val="single" w:color="000000" w:sz="4" w:space="0"/>
              <w:bottom w:val="single" w:color="000000" w:sz="4" w:space="0"/>
              <w:right w:val="single" w:color="000000" w:sz="4" w:space="0"/>
            </w:tcBorders>
            <w:vAlign w:val="center"/>
          </w:tcPr>
          <w:p w14:paraId="329DCF9D">
            <w:pPr>
              <w:spacing w:line="360" w:lineRule="auto"/>
              <w:rPr>
                <w:rFonts w:ascii="Times New Roman" w:hAnsi="Times New Roman" w:eastAsia="宋体" w:cs="Times New Roman"/>
                <w:b/>
                <w:bCs/>
                <w:color w:val="000000" w:themeColor="text1"/>
                <w14:textFill>
                  <w14:solidFill>
                    <w14:schemeClr w14:val="tx1"/>
                  </w14:solidFill>
                </w14:textFill>
              </w:rPr>
            </w:pPr>
          </w:p>
        </w:tc>
        <w:tc>
          <w:tcPr>
            <w:tcW w:w="4838" w:type="dxa"/>
            <w:tcBorders>
              <w:top w:val="single" w:color="000000" w:sz="4" w:space="0"/>
              <w:left w:val="nil"/>
              <w:bottom w:val="single" w:color="000000" w:sz="4" w:space="0"/>
              <w:right w:val="single" w:color="000000" w:sz="4" w:space="0"/>
            </w:tcBorders>
            <w:vAlign w:val="center"/>
          </w:tcPr>
          <w:p w14:paraId="62F5F52B">
            <w:pPr>
              <w:spacing w:line="360" w:lineRule="auto"/>
              <w:rPr>
                <w:rFonts w:ascii="Times New Roman" w:hAnsi="Times New Roman" w:eastAsia="宋体" w:cs="Times New Roman"/>
                <w:color w:val="000000" w:themeColor="text1"/>
                <w14:textFill>
                  <w14:solidFill>
                    <w14:schemeClr w14:val="tx1"/>
                  </w14:solidFill>
                </w14:textFill>
              </w:rPr>
            </w:pPr>
          </w:p>
        </w:tc>
        <w:tc>
          <w:tcPr>
            <w:tcW w:w="3494" w:type="dxa"/>
            <w:gridSpan w:val="2"/>
            <w:tcBorders>
              <w:top w:val="single" w:color="000000" w:sz="4" w:space="0"/>
              <w:left w:val="nil"/>
              <w:bottom w:val="single" w:color="000000" w:sz="4" w:space="0"/>
              <w:right w:val="single" w:color="000000" w:sz="4" w:space="0"/>
            </w:tcBorders>
            <w:vAlign w:val="center"/>
          </w:tcPr>
          <w:p w14:paraId="58581952">
            <w:pPr>
              <w:spacing w:line="360" w:lineRule="auto"/>
              <w:ind w:firstLine="420"/>
              <w:jc w:val="center"/>
              <w:rPr>
                <w:rFonts w:ascii="Times New Roman" w:hAnsi="Times New Roman" w:eastAsia="宋体" w:cs="Times New Roman"/>
                <w:b/>
                <w:bCs/>
                <w:color w:val="000000" w:themeColor="text1"/>
                <w14:textFill>
                  <w14:solidFill>
                    <w14:schemeClr w14:val="tx1"/>
                  </w14:solidFill>
                </w14:textFill>
              </w:rPr>
            </w:pPr>
          </w:p>
        </w:tc>
      </w:tr>
      <w:tr w14:paraId="3C4D3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71" w:type="dxa"/>
            <w:vMerge w:val="continue"/>
            <w:tcBorders>
              <w:top w:val="nil"/>
              <w:left w:val="single" w:color="000000" w:sz="4" w:space="0"/>
              <w:bottom w:val="single" w:color="000000" w:sz="4" w:space="0"/>
              <w:right w:val="single" w:color="000000" w:sz="4" w:space="0"/>
            </w:tcBorders>
            <w:vAlign w:val="center"/>
          </w:tcPr>
          <w:p w14:paraId="66DDFCE2">
            <w:pPr>
              <w:spacing w:line="360" w:lineRule="auto"/>
              <w:rPr>
                <w:rFonts w:ascii="Times New Roman" w:hAnsi="Times New Roman" w:eastAsia="宋体" w:cs="Times New Roman"/>
                <w:b/>
                <w:bCs/>
                <w:color w:val="000000" w:themeColor="text1"/>
                <w14:textFill>
                  <w14:solidFill>
                    <w14:schemeClr w14:val="tx1"/>
                  </w14:solidFill>
                </w14:textFill>
              </w:rPr>
            </w:pPr>
          </w:p>
        </w:tc>
        <w:tc>
          <w:tcPr>
            <w:tcW w:w="4838" w:type="dxa"/>
            <w:tcBorders>
              <w:top w:val="single" w:color="000000" w:sz="4" w:space="0"/>
              <w:left w:val="nil"/>
              <w:bottom w:val="single" w:color="000000" w:sz="4" w:space="0"/>
              <w:right w:val="single" w:color="000000" w:sz="4" w:space="0"/>
            </w:tcBorders>
            <w:vAlign w:val="center"/>
          </w:tcPr>
          <w:p w14:paraId="318907F3">
            <w:pPr>
              <w:spacing w:line="360" w:lineRule="auto"/>
              <w:rPr>
                <w:rFonts w:ascii="Times New Roman" w:hAnsi="Times New Roman" w:eastAsia="宋体" w:cs="Times New Roman"/>
                <w:color w:val="000000" w:themeColor="text1"/>
                <w14:textFill>
                  <w14:solidFill>
                    <w14:schemeClr w14:val="tx1"/>
                  </w14:solidFill>
                </w14:textFill>
              </w:rPr>
            </w:pPr>
          </w:p>
        </w:tc>
        <w:tc>
          <w:tcPr>
            <w:tcW w:w="3494" w:type="dxa"/>
            <w:gridSpan w:val="2"/>
            <w:tcBorders>
              <w:top w:val="single" w:color="000000" w:sz="4" w:space="0"/>
              <w:left w:val="nil"/>
              <w:bottom w:val="single" w:color="000000" w:sz="4" w:space="0"/>
              <w:right w:val="single" w:color="000000" w:sz="4" w:space="0"/>
            </w:tcBorders>
            <w:vAlign w:val="center"/>
          </w:tcPr>
          <w:p w14:paraId="18BFA633">
            <w:pPr>
              <w:spacing w:line="360" w:lineRule="auto"/>
              <w:ind w:firstLine="420"/>
              <w:jc w:val="center"/>
              <w:rPr>
                <w:rFonts w:ascii="Times New Roman" w:hAnsi="Times New Roman" w:eastAsia="宋体" w:cs="Times New Roman"/>
                <w:b/>
                <w:bCs/>
                <w:color w:val="000000" w:themeColor="text1"/>
                <w14:textFill>
                  <w14:solidFill>
                    <w14:schemeClr w14:val="tx1"/>
                  </w14:solidFill>
                </w14:textFill>
              </w:rPr>
            </w:pPr>
          </w:p>
        </w:tc>
      </w:tr>
    </w:tbl>
    <w:p w14:paraId="356DF1B4">
      <w:pPr>
        <w:spacing w:line="360" w:lineRule="auto"/>
        <w:jc w:val="left"/>
        <w:rPr>
          <w:rFonts w:ascii="Times New Roman" w:hAnsi="Times New Roman" w:eastAsia="宋体" w:cs="Times New Roman"/>
          <w:color w:val="000000" w:themeColor="text1"/>
          <w14:textFill>
            <w14:solidFill>
              <w14:schemeClr w14:val="tx1"/>
            </w14:solidFill>
          </w14:textFill>
        </w:rPr>
      </w:pPr>
    </w:p>
    <w:p w14:paraId="244F5089">
      <w:pPr>
        <w:spacing w:line="360" w:lineRule="auto"/>
        <w:jc w:val="left"/>
        <w:rPr>
          <w:rFonts w:ascii="Times New Roman" w:hAnsi="Times New Roman" w:eastAsia="宋体" w:cs="Times New Roman"/>
          <w:color w:val="000000" w:themeColor="text1"/>
          <w14:textFill>
            <w14:solidFill>
              <w14:schemeClr w14:val="tx1"/>
            </w14:solidFill>
          </w14:textFill>
        </w:rPr>
      </w:pPr>
    </w:p>
    <w:p w14:paraId="2F26D90F">
      <w:pPr>
        <w:jc w:val="left"/>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br w:type="page"/>
      </w:r>
    </w:p>
    <w:p w14:paraId="78C585BF">
      <w:pPr>
        <w:spacing w:before="312" w:beforeLines="100" w:after="312" w:afterLines="100" w:line="360" w:lineRule="auto"/>
        <w:jc w:val="center"/>
        <w:rPr>
          <w:rFonts w:ascii="黑体" w:hAnsi="黑体" w:eastAsia="黑体" w:cs="Arial Unicode MS"/>
          <w:color w:val="000000" w:themeColor="text1"/>
          <w:sz w:val="36"/>
          <w:szCs w:val="36"/>
          <w:u w:color="000000"/>
          <w14:textFill>
            <w14:solidFill>
              <w14:schemeClr w14:val="tx1"/>
            </w14:solidFill>
          </w14:textFill>
        </w:rPr>
      </w:pPr>
      <w:r>
        <w:rPr>
          <w:rFonts w:hint="eastAsia" w:ascii="黑体" w:hAnsi="黑体" w:eastAsia="黑体" w:cs="宋体"/>
          <w:color w:val="000000" w:themeColor="text1"/>
          <w:sz w:val="36"/>
          <w:szCs w:val="36"/>
          <w:u w:color="000000"/>
          <w:lang w:val="zh-TW"/>
          <w14:textFill>
            <w14:solidFill>
              <w14:schemeClr w14:val="tx1"/>
            </w14:solidFill>
          </w14:textFill>
        </w:rPr>
        <w:t>目  录</w:t>
      </w:r>
    </w:p>
    <w:p w14:paraId="2770EC5E">
      <w:pPr>
        <w:spacing w:line="360" w:lineRule="auto"/>
        <w:rPr>
          <w:rFonts w:ascii="Times New Roman" w:hAnsi="Times New Roman" w:eastAsia="宋体" w:cs="Times New Roman"/>
          <w:color w:val="000000" w:themeColor="text1"/>
          <w:sz w:val="24"/>
          <w:szCs w:val="24"/>
          <w:u w:color="000000"/>
          <w14:textFill>
            <w14:solidFill>
              <w14:schemeClr w14:val="tx1"/>
            </w14:solidFill>
          </w14:textFill>
        </w:rPr>
      </w:pPr>
      <w:r>
        <w:rPr>
          <w:rFonts w:hint="eastAsia" w:ascii="Times New Roman" w:hAnsi="Times New Roman" w:eastAsia="宋体" w:cs="Times New Roman"/>
          <w:color w:val="000000" w:themeColor="text1"/>
          <w:sz w:val="24"/>
          <w:szCs w:val="24"/>
          <w:u w:color="000000"/>
          <w14:textFill>
            <w14:solidFill>
              <w14:schemeClr w14:val="tx1"/>
            </w14:solidFill>
          </w14:textFill>
        </w:rPr>
        <w:t>一、投标函</w:t>
      </w:r>
    </w:p>
    <w:p w14:paraId="040AF5B0">
      <w:pPr>
        <w:spacing w:line="360" w:lineRule="auto"/>
        <w:rPr>
          <w:rFonts w:ascii="Times New Roman" w:hAnsi="Times New Roman" w:eastAsia="宋体" w:cs="Times New Roman"/>
          <w:color w:val="000000" w:themeColor="text1"/>
          <w:sz w:val="24"/>
          <w:szCs w:val="24"/>
          <w:u w:color="000000"/>
          <w14:textFill>
            <w14:solidFill>
              <w14:schemeClr w14:val="tx1"/>
            </w14:solidFill>
          </w14:textFill>
        </w:rPr>
      </w:pPr>
      <w:r>
        <w:rPr>
          <w:rFonts w:hint="eastAsia" w:ascii="Times New Roman" w:hAnsi="Times New Roman" w:eastAsia="宋体" w:cs="Times New Roman"/>
          <w:color w:val="000000" w:themeColor="text1"/>
          <w:sz w:val="24"/>
          <w:szCs w:val="24"/>
          <w:u w:color="000000"/>
          <w14:textFill>
            <w14:solidFill>
              <w14:schemeClr w14:val="tx1"/>
            </w14:solidFill>
          </w14:textFill>
        </w:rPr>
        <w:t>二、投标</w:t>
      </w:r>
      <w:r>
        <w:rPr>
          <w:rFonts w:ascii="Times New Roman" w:hAnsi="Times New Roman" w:eastAsia="宋体" w:cs="Times New Roman"/>
          <w:color w:val="000000" w:themeColor="text1"/>
          <w:sz w:val="24"/>
          <w:szCs w:val="24"/>
          <w:u w:color="000000"/>
          <w14:textFill>
            <w14:solidFill>
              <w14:schemeClr w14:val="tx1"/>
            </w14:solidFill>
          </w14:textFill>
        </w:rPr>
        <w:t>一览表</w:t>
      </w:r>
    </w:p>
    <w:p w14:paraId="1D6BE794">
      <w:pPr>
        <w:spacing w:line="360" w:lineRule="auto"/>
        <w:rPr>
          <w:rFonts w:ascii="Times New Roman" w:hAnsi="Times New Roman" w:eastAsia="宋体" w:cs="Times New Roman"/>
          <w:color w:val="000000" w:themeColor="text1"/>
          <w:sz w:val="24"/>
          <w:szCs w:val="24"/>
          <w:u w:color="000000"/>
          <w14:textFill>
            <w14:solidFill>
              <w14:schemeClr w14:val="tx1"/>
            </w14:solidFill>
          </w14:textFill>
        </w:rPr>
      </w:pPr>
      <w:r>
        <w:rPr>
          <w:rFonts w:hint="eastAsia" w:ascii="Times New Roman" w:hAnsi="Times New Roman" w:eastAsia="宋体" w:cs="Times New Roman"/>
          <w:color w:val="000000" w:themeColor="text1"/>
          <w:sz w:val="24"/>
          <w:szCs w:val="24"/>
          <w:u w:color="000000"/>
          <w14:textFill>
            <w14:solidFill>
              <w14:schemeClr w14:val="tx1"/>
            </w14:solidFill>
          </w14:textFill>
        </w:rPr>
        <w:t>三、法人授权书</w:t>
      </w:r>
    </w:p>
    <w:p w14:paraId="6E273B07">
      <w:pPr>
        <w:spacing w:line="360" w:lineRule="auto"/>
        <w:rPr>
          <w:rFonts w:ascii="Times New Roman" w:hAnsi="Times New Roman" w:eastAsia="宋体" w:cs="Times New Roman"/>
          <w:color w:val="000000" w:themeColor="text1"/>
          <w:sz w:val="24"/>
          <w:szCs w:val="24"/>
          <w:u w:color="000000"/>
          <w14:textFill>
            <w14:solidFill>
              <w14:schemeClr w14:val="tx1"/>
            </w14:solidFill>
          </w14:textFill>
        </w:rPr>
      </w:pPr>
      <w:r>
        <w:rPr>
          <w:rFonts w:hint="eastAsia" w:ascii="Times New Roman" w:hAnsi="Times New Roman" w:eastAsia="宋体" w:cs="Times New Roman"/>
          <w:color w:val="000000" w:themeColor="text1"/>
          <w:sz w:val="24"/>
          <w:szCs w:val="24"/>
          <w:u w:color="000000"/>
          <w14:textFill>
            <w14:solidFill>
              <w14:schemeClr w14:val="tx1"/>
            </w14:solidFill>
          </w14:textFill>
        </w:rPr>
        <w:t>四、资格证明文件</w:t>
      </w:r>
    </w:p>
    <w:p w14:paraId="6C8C97C6">
      <w:pPr>
        <w:spacing w:line="360" w:lineRule="auto"/>
        <w:rPr>
          <w:rFonts w:ascii="Times New Roman" w:hAnsi="Times New Roman" w:eastAsia="宋体" w:cs="Times New Roman"/>
          <w:color w:val="000000" w:themeColor="text1"/>
          <w:sz w:val="24"/>
          <w:szCs w:val="24"/>
          <w:u w:color="000000"/>
          <w14:textFill>
            <w14:solidFill>
              <w14:schemeClr w14:val="tx1"/>
            </w14:solidFill>
          </w14:textFill>
        </w:rPr>
      </w:pPr>
      <w:r>
        <w:rPr>
          <w:rFonts w:hint="eastAsia" w:ascii="Times New Roman" w:hAnsi="Times New Roman" w:eastAsia="宋体" w:cs="Times New Roman"/>
          <w:color w:val="000000" w:themeColor="text1"/>
          <w:sz w:val="24"/>
          <w:szCs w:val="24"/>
          <w:u w:color="000000"/>
          <w14:textFill>
            <w14:solidFill>
              <w14:schemeClr w14:val="tx1"/>
            </w14:solidFill>
          </w14:textFill>
        </w:rPr>
        <w:t>五、商务条款响应及偏离表</w:t>
      </w:r>
    </w:p>
    <w:p w14:paraId="6DBA9A99">
      <w:pPr>
        <w:spacing w:line="360" w:lineRule="auto"/>
        <w:rPr>
          <w:rFonts w:ascii="Times New Roman" w:hAnsi="Times New Roman" w:eastAsia="宋体" w:cs="Times New Roman"/>
          <w:color w:val="000000" w:themeColor="text1"/>
          <w:sz w:val="24"/>
          <w:szCs w:val="24"/>
          <w:u w:color="000000"/>
          <w14:textFill>
            <w14:solidFill>
              <w14:schemeClr w14:val="tx1"/>
            </w14:solidFill>
          </w14:textFill>
        </w:rPr>
      </w:pPr>
      <w:r>
        <w:rPr>
          <w:rFonts w:hint="eastAsia" w:ascii="Times New Roman" w:hAnsi="Times New Roman" w:eastAsia="宋体" w:cs="Times New Roman"/>
          <w:color w:val="000000" w:themeColor="text1"/>
          <w:sz w:val="24"/>
          <w:szCs w:val="24"/>
          <w:u w:color="000000"/>
          <w14:textFill>
            <w14:solidFill>
              <w14:schemeClr w14:val="tx1"/>
            </w14:solidFill>
          </w14:textFill>
        </w:rPr>
        <w:t>六、技术参数响应及偏离表</w:t>
      </w:r>
    </w:p>
    <w:p w14:paraId="0ACD51AC">
      <w:pPr>
        <w:spacing w:line="360" w:lineRule="auto"/>
        <w:rPr>
          <w:rFonts w:ascii="Times New Roman" w:hAnsi="Times New Roman" w:eastAsia="宋体" w:cs="Times New Roman"/>
          <w:color w:val="000000" w:themeColor="text1"/>
          <w:sz w:val="24"/>
          <w:szCs w:val="24"/>
          <w:u w:color="000000"/>
          <w14:textFill>
            <w14:solidFill>
              <w14:schemeClr w14:val="tx1"/>
            </w14:solidFill>
          </w14:textFill>
        </w:rPr>
      </w:pPr>
      <w:r>
        <w:rPr>
          <w:rFonts w:hint="eastAsia" w:ascii="Times New Roman" w:hAnsi="Times New Roman" w:eastAsia="宋体" w:cs="Times New Roman"/>
          <w:color w:val="000000" w:themeColor="text1"/>
          <w:sz w:val="24"/>
          <w:szCs w:val="24"/>
          <w:u w:color="000000"/>
          <w14:textFill>
            <w14:solidFill>
              <w14:schemeClr w14:val="tx1"/>
            </w14:solidFill>
          </w14:textFill>
        </w:rPr>
        <w:t>七、投标人业绩情况</w:t>
      </w:r>
    </w:p>
    <w:p w14:paraId="6F2B27A7">
      <w:pPr>
        <w:spacing w:line="360" w:lineRule="auto"/>
        <w:rPr>
          <w:rFonts w:ascii="Times New Roman" w:hAnsi="Times New Roman" w:eastAsia="宋体" w:cs="Times New Roman"/>
          <w:color w:val="000000" w:themeColor="text1"/>
          <w:sz w:val="24"/>
          <w:szCs w:val="24"/>
          <w:u w:color="000000"/>
          <w14:textFill>
            <w14:solidFill>
              <w14:schemeClr w14:val="tx1"/>
            </w14:solidFill>
          </w14:textFill>
        </w:rPr>
      </w:pPr>
      <w:r>
        <w:rPr>
          <w:rFonts w:hint="eastAsia" w:ascii="Times New Roman" w:hAnsi="Times New Roman" w:eastAsia="宋体" w:cs="Times New Roman"/>
          <w:color w:val="000000" w:themeColor="text1"/>
          <w:sz w:val="24"/>
          <w:szCs w:val="24"/>
          <w:u w:color="000000"/>
          <w14:textFill>
            <w14:solidFill>
              <w14:schemeClr w14:val="tx1"/>
            </w14:solidFill>
          </w14:textFill>
        </w:rPr>
        <w:t>八</w:t>
      </w:r>
      <w:r>
        <w:rPr>
          <w:rFonts w:ascii="Times New Roman" w:hAnsi="Times New Roman" w:eastAsia="宋体" w:cs="Times New Roman"/>
          <w:color w:val="000000" w:themeColor="text1"/>
          <w:sz w:val="24"/>
          <w:szCs w:val="24"/>
          <w:u w:color="000000"/>
          <w14:textFill>
            <w14:solidFill>
              <w14:schemeClr w14:val="tx1"/>
            </w14:solidFill>
          </w14:textFill>
        </w:rPr>
        <w:t>、</w:t>
      </w:r>
      <w:r>
        <w:rPr>
          <w:rFonts w:hint="eastAsia" w:ascii="Times New Roman" w:hAnsi="Times New Roman" w:eastAsia="宋体" w:cs="Times New Roman"/>
          <w:color w:val="000000" w:themeColor="text1"/>
          <w:sz w:val="24"/>
          <w:szCs w:val="24"/>
          <w:u w:color="000000"/>
          <w14:textFill>
            <w14:solidFill>
              <w14:schemeClr w14:val="tx1"/>
            </w14:solidFill>
          </w14:textFill>
        </w:rPr>
        <w:t>项目技术说明或实施方案</w:t>
      </w:r>
    </w:p>
    <w:p w14:paraId="1D2F5A52">
      <w:pPr>
        <w:spacing w:line="360" w:lineRule="auto"/>
        <w:rPr>
          <w:rFonts w:ascii="Times New Roman" w:hAnsi="Times New Roman" w:eastAsia="宋体" w:cs="Times New Roman"/>
          <w:color w:val="000000" w:themeColor="text1"/>
          <w:sz w:val="24"/>
          <w:szCs w:val="24"/>
          <w:u w:color="000000"/>
          <w14:textFill>
            <w14:solidFill>
              <w14:schemeClr w14:val="tx1"/>
            </w14:solidFill>
          </w14:textFill>
        </w:rPr>
      </w:pPr>
      <w:r>
        <w:rPr>
          <w:rFonts w:hint="eastAsia" w:ascii="Times New Roman" w:hAnsi="Times New Roman" w:eastAsia="宋体" w:cs="Times New Roman"/>
          <w:color w:val="000000" w:themeColor="text1"/>
          <w:sz w:val="24"/>
          <w:szCs w:val="24"/>
          <w:u w:color="000000"/>
          <w14:textFill>
            <w14:solidFill>
              <w14:schemeClr w14:val="tx1"/>
            </w14:solidFill>
          </w14:textFill>
        </w:rPr>
        <w:t>九、投标人</w:t>
      </w:r>
      <w:r>
        <w:rPr>
          <w:rFonts w:hint="eastAsia" w:ascii="Times New Roman" w:hAnsi="Times New Roman" w:eastAsia="宋体" w:cs="Times New Roman"/>
          <w:color w:val="000000" w:themeColor="text1"/>
          <w:sz w:val="24"/>
          <w:szCs w:val="24"/>
          <w:u w:color="000000"/>
          <w:lang w:eastAsia="zh-CN"/>
          <w14:textFill>
            <w14:solidFill>
              <w14:schemeClr w14:val="tx1"/>
            </w14:solidFill>
          </w14:textFill>
        </w:rPr>
        <w:t>其他</w:t>
      </w:r>
      <w:r>
        <w:rPr>
          <w:rFonts w:hint="eastAsia" w:ascii="Times New Roman" w:hAnsi="Times New Roman" w:eastAsia="宋体" w:cs="Times New Roman"/>
          <w:color w:val="000000" w:themeColor="text1"/>
          <w:sz w:val="24"/>
          <w:szCs w:val="24"/>
          <w:u w:color="000000"/>
          <w14:textFill>
            <w14:solidFill>
              <w14:schemeClr w14:val="tx1"/>
            </w14:solidFill>
          </w14:textFill>
        </w:rPr>
        <w:t>声明及材料</w:t>
      </w:r>
    </w:p>
    <w:p w14:paraId="6AC76E86">
      <w:pPr>
        <w:spacing w:line="360" w:lineRule="auto"/>
        <w:rPr>
          <w:rFonts w:ascii="宋体" w:hAnsi="宋体" w:eastAsia="宋体" w:cs="Arial Unicode MS"/>
          <w:color w:val="000000" w:themeColor="text1"/>
          <w:sz w:val="28"/>
          <w:szCs w:val="28"/>
          <w:u w:color="000000"/>
          <w14:textFill>
            <w14:solidFill>
              <w14:schemeClr w14:val="tx1"/>
            </w14:solidFill>
          </w14:textFill>
        </w:rPr>
      </w:pPr>
    </w:p>
    <w:p w14:paraId="6EFF9285">
      <w:pPr>
        <w:jc w:val="left"/>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br w:type="page"/>
      </w:r>
    </w:p>
    <w:p w14:paraId="582D3BCC">
      <w:pPr>
        <w:tabs>
          <w:tab w:val="left" w:pos="576"/>
        </w:tabs>
        <w:spacing w:before="156" w:beforeLines="50" w:after="156" w:afterLines="50" w:line="360" w:lineRule="auto"/>
        <w:outlineLvl w:val="2"/>
        <w:rPr>
          <w:rFonts w:ascii="Times New Roman" w:hAnsi="Times New Roman" w:eastAsia="黑体" w:cs="Times New Roman"/>
          <w:color w:val="000000" w:themeColor="text1"/>
          <w:sz w:val="24"/>
          <w:szCs w:val="24"/>
          <w:u w:color="000000"/>
          <w14:textFill>
            <w14:solidFill>
              <w14:schemeClr w14:val="tx1"/>
            </w14:solidFill>
          </w14:textFill>
        </w:rPr>
      </w:pPr>
      <w:bookmarkStart w:id="58" w:name="_Toc415494574"/>
      <w:bookmarkStart w:id="59" w:name="_Toc50"/>
      <w:bookmarkStart w:id="60" w:name="_Toc448069988"/>
      <w:bookmarkStart w:id="61" w:name="_Toc11859491"/>
      <w:r>
        <w:rPr>
          <w:rFonts w:ascii="Times New Roman" w:hAnsi="Times New Roman" w:eastAsia="黑体" w:cs="Times New Roman"/>
          <w:color w:val="000000" w:themeColor="text1"/>
          <w:sz w:val="24"/>
          <w:szCs w:val="24"/>
          <w:u w:color="000000"/>
          <w14:textFill>
            <w14:solidFill>
              <w14:schemeClr w14:val="tx1"/>
            </w14:solidFill>
          </w14:textFill>
        </w:rPr>
        <w:t xml:space="preserve">6.1 </w:t>
      </w:r>
      <w:bookmarkEnd w:id="58"/>
      <w:bookmarkEnd w:id="59"/>
      <w:bookmarkEnd w:id="60"/>
      <w:r>
        <w:rPr>
          <w:rFonts w:hint="eastAsia" w:ascii="Times New Roman" w:hAnsi="Times New Roman" w:eastAsia="黑体" w:cs="Times New Roman"/>
          <w:color w:val="000000" w:themeColor="text1"/>
          <w:sz w:val="24"/>
          <w:szCs w:val="24"/>
          <w:u w:color="000000"/>
          <w14:textFill>
            <w14:solidFill>
              <w14:schemeClr w14:val="tx1"/>
            </w14:solidFill>
          </w14:textFill>
        </w:rPr>
        <w:t>投标函</w:t>
      </w:r>
      <w:bookmarkEnd w:id="61"/>
    </w:p>
    <w:p w14:paraId="626E01AD">
      <w:pPr>
        <w:snapToGrid w:val="0"/>
        <w:spacing w:line="360" w:lineRule="auto"/>
        <w:jc w:val="center"/>
        <w:rPr>
          <w:rFonts w:ascii="黑体" w:hAnsi="黑体" w:eastAsia="黑体" w:cs="Times New Roman"/>
          <w:color w:val="000000" w:themeColor="text1"/>
          <w:sz w:val="28"/>
          <w:szCs w:val="24"/>
          <w:u w:color="000000"/>
          <w:lang w:val="zh-TW"/>
          <w14:textFill>
            <w14:solidFill>
              <w14:schemeClr w14:val="tx1"/>
            </w14:solidFill>
          </w14:textFill>
        </w:rPr>
      </w:pPr>
      <w:r>
        <w:rPr>
          <w:rFonts w:hint="eastAsia" w:ascii="黑体" w:hAnsi="黑体" w:eastAsia="黑体" w:cs="Times New Roman"/>
          <w:color w:val="000000" w:themeColor="text1"/>
          <w:sz w:val="28"/>
          <w:szCs w:val="24"/>
          <w:u w:color="000000"/>
          <w:lang w:val="zh-TW"/>
          <w14:textFill>
            <w14:solidFill>
              <w14:schemeClr w14:val="tx1"/>
            </w14:solidFill>
          </w14:textFill>
        </w:rPr>
        <w:t>投标函</w:t>
      </w:r>
    </w:p>
    <w:p w14:paraId="3F5DC44C">
      <w:pPr>
        <w:pStyle w:val="50"/>
        <w:widowControl w:val="0"/>
        <w:spacing w:before="0" w:after="0" w:line="300" w:lineRule="auto"/>
        <w:ind w:firstLine="0"/>
        <w:rPr>
          <w:rFonts w:hint="default" w:ascii="Times New Roman" w:hAnsi="Times New Roman" w:eastAsia="宋体" w:cs="Times New Roman"/>
          <w:color w:val="000000" w:themeColor="text1"/>
          <w:kern w:val="2"/>
          <w:szCs w:val="21"/>
          <w:lang w:val="en-US" w:eastAsia="zh-CN"/>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致：</w:t>
      </w:r>
      <w:r>
        <w:rPr>
          <w:rFonts w:hint="eastAsia" w:ascii="Times New Roman" w:hAnsi="Times New Roman" w:cs="Times New Roman"/>
          <w:color w:val="000000" w:themeColor="text1"/>
          <w:kern w:val="2"/>
          <w:szCs w:val="21"/>
          <w:u w:val="single"/>
          <w:lang w:val="en-US" w:eastAsia="zh-CN"/>
          <w14:textFill>
            <w14:solidFill>
              <w14:schemeClr w14:val="tx1"/>
            </w14:solidFill>
          </w14:textFill>
        </w:rPr>
        <w:t>南京机电职业技术学院</w:t>
      </w:r>
    </w:p>
    <w:p w14:paraId="6C64E4A1">
      <w:pPr>
        <w:pStyle w:val="50"/>
        <w:widowControl w:val="0"/>
        <w:spacing w:before="0" w:after="0" w:line="300" w:lineRule="auto"/>
        <w:ind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根据贵方</w:t>
      </w:r>
      <w:r>
        <w:rPr>
          <w:rFonts w:hint="eastAsia" w:ascii="Times New Roman" w:hAnsi="Times New Roman" w:cs="Times New Roman"/>
          <w:color w:val="000000" w:themeColor="text1"/>
          <w:kern w:val="2"/>
          <w:szCs w:val="21"/>
          <w:u w:val="single"/>
          <w14:textFill>
            <w14:solidFill>
              <w14:schemeClr w14:val="tx1"/>
            </w14:solidFill>
          </w14:textFill>
        </w:rPr>
        <w:t>南京机电职业技术学院医务室第三方托管服务项目（</w:t>
      </w:r>
      <w:r>
        <w:rPr>
          <w:rFonts w:ascii="Times New Roman" w:hAnsi="Times New Roman" w:cs="Times New Roman"/>
          <w:color w:val="000000" w:themeColor="text1"/>
          <w:kern w:val="2"/>
          <w:szCs w:val="21"/>
          <w:u w:val="single"/>
          <w14:textFill>
            <w14:solidFill>
              <w14:schemeClr w14:val="tx1"/>
            </w14:solidFill>
          </w14:textFill>
        </w:rPr>
        <w:t>项目编号</w:t>
      </w:r>
      <w:r>
        <w:rPr>
          <w:rFonts w:hint="eastAsia" w:ascii="Times New Roman" w:hAnsi="Times New Roman" w:cs="Times New Roman"/>
          <w:color w:val="000000" w:themeColor="text1"/>
          <w:kern w:val="2"/>
          <w:szCs w:val="21"/>
          <w:u w:val="single"/>
          <w14:textFill>
            <w14:solidFill>
              <w14:schemeClr w14:val="tx1"/>
            </w14:solidFill>
          </w14:textFill>
        </w:rPr>
        <w:t>：NIMT-ZB-2026001）</w:t>
      </w:r>
      <w:r>
        <w:rPr>
          <w:rFonts w:ascii="Times New Roman" w:hAnsi="Times New Roman" w:cs="Times New Roman"/>
          <w:color w:val="000000" w:themeColor="text1"/>
          <w:kern w:val="2"/>
          <w:szCs w:val="21"/>
          <w14:textFill>
            <w14:solidFill>
              <w14:schemeClr w14:val="tx1"/>
            </w14:solidFill>
          </w14:textFill>
        </w:rPr>
        <w:t>的采购文件，正式授权下述签字人____________</w:t>
      </w:r>
      <w:r>
        <w:rPr>
          <w:rFonts w:hint="eastAsia" w:ascii="Times New Roman" w:hAnsi="Times New Roman" w:cs="Times New Roman"/>
          <w:color w:val="000000" w:themeColor="text1"/>
          <w:kern w:val="2"/>
          <w:szCs w:val="21"/>
          <w14:textFill>
            <w14:solidFill>
              <w14:schemeClr w14:val="tx1"/>
            </w14:solidFill>
          </w14:textFill>
        </w:rPr>
        <w:t>（</w:t>
      </w:r>
      <w:r>
        <w:rPr>
          <w:rFonts w:ascii="Times New Roman" w:hAnsi="Times New Roman" w:cs="Times New Roman"/>
          <w:color w:val="000000" w:themeColor="text1"/>
          <w:kern w:val="2"/>
          <w:szCs w:val="21"/>
          <w14:textFill>
            <w14:solidFill>
              <w14:schemeClr w14:val="tx1"/>
            </w14:solidFill>
          </w14:textFill>
        </w:rPr>
        <w:t>姓名和职务</w:t>
      </w:r>
      <w:r>
        <w:rPr>
          <w:rFonts w:hint="eastAsia" w:ascii="Times New Roman" w:hAnsi="Times New Roman" w:cs="Times New Roman"/>
          <w:color w:val="000000" w:themeColor="text1"/>
          <w:kern w:val="2"/>
          <w:szCs w:val="21"/>
          <w14:textFill>
            <w14:solidFill>
              <w14:schemeClr w14:val="tx1"/>
            </w14:solidFill>
          </w14:textFill>
        </w:rPr>
        <w:t>）</w:t>
      </w:r>
      <w:r>
        <w:rPr>
          <w:rFonts w:ascii="Times New Roman" w:hAnsi="Times New Roman" w:cs="Times New Roman"/>
          <w:color w:val="000000" w:themeColor="text1"/>
          <w:kern w:val="2"/>
          <w:szCs w:val="21"/>
          <w14:textFill>
            <w14:solidFill>
              <w14:schemeClr w14:val="tx1"/>
            </w14:solidFill>
          </w14:textFill>
        </w:rPr>
        <w:t>代表我方____________（投标人的名称），全权处理本次项目投标的有关事宜。</w:t>
      </w:r>
    </w:p>
    <w:p w14:paraId="1274EA1C">
      <w:pPr>
        <w:pStyle w:val="50"/>
        <w:widowControl w:val="0"/>
        <w:spacing w:before="0" w:after="0" w:line="300" w:lineRule="auto"/>
        <w:ind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据此函，__________签字人兹宣布同意如下：</w:t>
      </w:r>
    </w:p>
    <w:p w14:paraId="49422887">
      <w:pPr>
        <w:pStyle w:val="50"/>
        <w:widowControl w:val="0"/>
        <w:spacing w:before="0" w:after="0" w:line="300" w:lineRule="auto"/>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1.按采购文件规定的各项要求，向买方提供所需货物与服务。</w:t>
      </w:r>
    </w:p>
    <w:p w14:paraId="53D30E5D">
      <w:pPr>
        <w:pStyle w:val="50"/>
        <w:widowControl w:val="0"/>
        <w:spacing w:before="0" w:after="0" w:line="300" w:lineRule="auto"/>
        <w:ind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2.我们完全理解贵方不一定将合同授予最低报价的投标人。</w:t>
      </w:r>
    </w:p>
    <w:p w14:paraId="3CE66A97">
      <w:pPr>
        <w:pStyle w:val="50"/>
        <w:widowControl w:val="0"/>
        <w:spacing w:before="0" w:after="0" w:line="300" w:lineRule="auto"/>
        <w:ind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3.我们已详细审核全部采购文件及其有效补充文件，我们知道必须放弃提出含糊不清或误解问题的权利。</w:t>
      </w:r>
    </w:p>
    <w:p w14:paraId="75030031">
      <w:pPr>
        <w:pStyle w:val="50"/>
        <w:widowControl w:val="0"/>
        <w:spacing w:before="0" w:after="0" w:line="300" w:lineRule="auto"/>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4.我们同意从规定的开标日期起遵循本投标文件，并在规定的投标有效期期满之前均具有约束力。</w:t>
      </w:r>
    </w:p>
    <w:p w14:paraId="2D2D6641">
      <w:pPr>
        <w:pStyle w:val="50"/>
        <w:widowControl w:val="0"/>
        <w:spacing w:before="0" w:after="0" w:line="300" w:lineRule="auto"/>
        <w:rPr>
          <w:rFonts w:ascii="Times New Roman" w:hAnsi="Times New Roman" w:cs="Times New Roman"/>
          <w:color w:val="000000" w:themeColor="text1"/>
          <w:kern w:val="2"/>
          <w:szCs w:val="21"/>
          <w14:textFill>
            <w14:solidFill>
              <w14:schemeClr w14:val="tx1"/>
            </w14:solidFill>
          </w14:textFill>
        </w:rPr>
      </w:pPr>
      <w:r>
        <w:rPr>
          <w:rFonts w:hint="eastAsia" w:ascii="Times New Roman" w:hAnsi="Times New Roman" w:cs="Times New Roman"/>
          <w:color w:val="000000" w:themeColor="text1"/>
          <w:kern w:val="2"/>
          <w:szCs w:val="21"/>
          <w14:textFill>
            <w14:solidFill>
              <w14:schemeClr w14:val="tx1"/>
            </w14:solidFill>
          </w14:textFill>
        </w:rPr>
        <w:t>5</w:t>
      </w:r>
      <w:r>
        <w:rPr>
          <w:rFonts w:ascii="Times New Roman" w:hAnsi="Times New Roman" w:cs="Times New Roman"/>
          <w:color w:val="000000" w:themeColor="text1"/>
          <w:kern w:val="2"/>
          <w:szCs w:val="21"/>
          <w14:textFill>
            <w14:solidFill>
              <w14:schemeClr w14:val="tx1"/>
            </w14:solidFill>
          </w14:textFill>
        </w:rPr>
        <w:t>.同意向贵方提供贵方可能另外要求的与投标有关的任何证据或资料，并保证我方已提供和将要提供的文件是真实的、准确的。</w:t>
      </w:r>
    </w:p>
    <w:p w14:paraId="58DFAC80">
      <w:pPr>
        <w:pStyle w:val="50"/>
        <w:widowControl w:val="0"/>
        <w:spacing w:before="0" w:after="0" w:line="300" w:lineRule="auto"/>
        <w:rPr>
          <w:rFonts w:ascii="Times New Roman" w:hAnsi="Times New Roman" w:cs="Times New Roman"/>
          <w:color w:val="000000" w:themeColor="text1"/>
          <w:kern w:val="2"/>
          <w:szCs w:val="21"/>
          <w14:textFill>
            <w14:solidFill>
              <w14:schemeClr w14:val="tx1"/>
            </w14:solidFill>
          </w14:textFill>
        </w:rPr>
      </w:pPr>
      <w:r>
        <w:rPr>
          <w:rFonts w:hint="eastAsia" w:ascii="Times New Roman" w:hAnsi="Times New Roman" w:cs="Times New Roman"/>
          <w:color w:val="000000" w:themeColor="text1"/>
          <w:kern w:val="2"/>
          <w:szCs w:val="21"/>
          <w14:textFill>
            <w14:solidFill>
              <w14:schemeClr w14:val="tx1"/>
            </w14:solidFill>
          </w14:textFill>
        </w:rPr>
        <w:t>6</w:t>
      </w:r>
      <w:r>
        <w:rPr>
          <w:rFonts w:ascii="Times New Roman" w:hAnsi="Times New Roman" w:cs="Times New Roman"/>
          <w:color w:val="000000" w:themeColor="text1"/>
          <w:kern w:val="2"/>
          <w:szCs w:val="21"/>
          <w14:textFill>
            <w14:solidFill>
              <w14:schemeClr w14:val="tx1"/>
            </w14:solidFill>
          </w14:textFill>
        </w:rPr>
        <w:t>.一旦我方中标,我方将根据采购文件的规定，严格履行合同的责任和义务,并保证在采购文件规定的时</w:t>
      </w:r>
      <w:r>
        <w:rPr>
          <w:rFonts w:hint="eastAsia" w:ascii="Times New Roman" w:hAnsi="Times New Roman" w:cs="Times New Roman"/>
          <w:color w:val="000000" w:themeColor="text1"/>
          <w:kern w:val="2"/>
          <w:szCs w:val="21"/>
          <w:lang w:eastAsia="zh-CN"/>
          <w14:textFill>
            <w14:solidFill>
              <w14:schemeClr w14:val="tx1"/>
            </w14:solidFill>
          </w14:textFill>
        </w:rPr>
        <w:t>间内</w:t>
      </w:r>
      <w:r>
        <w:rPr>
          <w:rFonts w:ascii="Times New Roman" w:hAnsi="Times New Roman" w:cs="Times New Roman"/>
          <w:color w:val="000000" w:themeColor="text1"/>
          <w:kern w:val="2"/>
          <w:szCs w:val="21"/>
          <w14:textFill>
            <w14:solidFill>
              <w14:schemeClr w14:val="tx1"/>
            </w14:solidFill>
          </w14:textFill>
        </w:rPr>
        <w:t>完成项目，交付买方验收、使用。</w:t>
      </w:r>
    </w:p>
    <w:p w14:paraId="004104CF">
      <w:pPr>
        <w:pStyle w:val="50"/>
        <w:widowControl w:val="0"/>
        <w:spacing w:before="0" w:after="0" w:line="300" w:lineRule="auto"/>
        <w:ind w:firstLineChars="200"/>
        <w:rPr>
          <w:rFonts w:ascii="Times New Roman" w:hAnsi="Times New Roman" w:cs="Times New Roman"/>
          <w:color w:val="000000" w:themeColor="text1"/>
          <w:kern w:val="2"/>
          <w:szCs w:val="21"/>
          <w14:textFill>
            <w14:solidFill>
              <w14:schemeClr w14:val="tx1"/>
            </w14:solidFill>
          </w14:textFill>
        </w:rPr>
      </w:pPr>
      <w:r>
        <w:rPr>
          <w:rFonts w:hint="eastAsia" w:ascii="Times New Roman" w:hAnsi="Times New Roman" w:cs="Times New Roman"/>
          <w:color w:val="000000" w:themeColor="text1"/>
          <w:kern w:val="2"/>
          <w:szCs w:val="21"/>
          <w14:textFill>
            <w14:solidFill>
              <w14:schemeClr w14:val="tx1"/>
            </w14:solidFill>
          </w14:textFill>
        </w:rPr>
        <w:t>7</w:t>
      </w:r>
      <w:r>
        <w:rPr>
          <w:rFonts w:ascii="Times New Roman" w:hAnsi="Times New Roman" w:cs="Times New Roman"/>
          <w:color w:val="000000" w:themeColor="text1"/>
          <w:kern w:val="2"/>
          <w:szCs w:val="21"/>
          <w14:textFill>
            <w14:solidFill>
              <w14:schemeClr w14:val="tx1"/>
            </w14:solidFill>
          </w14:textFill>
        </w:rPr>
        <w:t>.遵守采购文件中要求的收费项目和标准。</w:t>
      </w:r>
    </w:p>
    <w:p w14:paraId="32B14B83">
      <w:pPr>
        <w:pStyle w:val="50"/>
        <w:widowControl w:val="0"/>
        <w:spacing w:before="0" w:after="0" w:line="300" w:lineRule="auto"/>
        <w:ind w:firstLineChars="200"/>
        <w:rPr>
          <w:rFonts w:ascii="Times New Roman" w:hAnsi="Times New Roman" w:cs="Times New Roman"/>
          <w:color w:val="000000" w:themeColor="text1"/>
          <w:kern w:val="2"/>
          <w:szCs w:val="21"/>
          <w14:textFill>
            <w14:solidFill>
              <w14:schemeClr w14:val="tx1"/>
            </w14:solidFill>
          </w14:textFill>
        </w:rPr>
      </w:pPr>
      <w:r>
        <w:rPr>
          <w:rFonts w:hint="eastAsia" w:ascii="Times New Roman" w:hAnsi="Times New Roman" w:cs="Times New Roman"/>
          <w:color w:val="000000" w:themeColor="text1"/>
          <w:kern w:val="2"/>
          <w:szCs w:val="21"/>
          <w14:textFill>
            <w14:solidFill>
              <w14:schemeClr w14:val="tx1"/>
            </w14:solidFill>
          </w14:textFill>
        </w:rPr>
        <w:t>8</w:t>
      </w:r>
      <w:r>
        <w:rPr>
          <w:rFonts w:ascii="Times New Roman" w:hAnsi="Times New Roman" w:cs="Times New Roman"/>
          <w:color w:val="000000" w:themeColor="text1"/>
          <w:kern w:val="2"/>
          <w:szCs w:val="21"/>
          <w14:textFill>
            <w14:solidFill>
              <w14:schemeClr w14:val="tx1"/>
            </w14:solidFill>
          </w14:textFill>
        </w:rPr>
        <w:t>.与本投标有关的正式通讯地址为：</w:t>
      </w:r>
    </w:p>
    <w:p w14:paraId="16EE230B">
      <w:pPr>
        <w:pStyle w:val="50"/>
        <w:widowControl w:val="0"/>
        <w:spacing w:before="0" w:after="0" w:line="300" w:lineRule="auto"/>
        <w:ind w:left="420" w:leftChars="200"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地        址：</w:t>
      </w:r>
    </w:p>
    <w:p w14:paraId="4444B4BA">
      <w:pPr>
        <w:pStyle w:val="50"/>
        <w:widowControl w:val="0"/>
        <w:spacing w:before="0" w:after="0" w:line="300" w:lineRule="auto"/>
        <w:ind w:left="420" w:leftChars="200"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邮        编：</w:t>
      </w:r>
    </w:p>
    <w:p w14:paraId="0E329860">
      <w:pPr>
        <w:pStyle w:val="50"/>
        <w:widowControl w:val="0"/>
        <w:spacing w:before="0" w:after="0" w:line="300" w:lineRule="auto"/>
        <w:ind w:left="420" w:leftChars="200"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电        话：</w:t>
      </w:r>
    </w:p>
    <w:p w14:paraId="06452D6B">
      <w:pPr>
        <w:pStyle w:val="50"/>
        <w:widowControl w:val="0"/>
        <w:spacing w:before="0" w:after="0" w:line="300" w:lineRule="auto"/>
        <w:ind w:left="420" w:leftChars="200"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传        真：</w:t>
      </w:r>
    </w:p>
    <w:p w14:paraId="77E29354">
      <w:pPr>
        <w:pStyle w:val="50"/>
        <w:widowControl w:val="0"/>
        <w:spacing w:before="0" w:after="0" w:line="300" w:lineRule="auto"/>
        <w:ind w:left="420" w:leftChars="200"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投标人开户行：</w:t>
      </w:r>
    </w:p>
    <w:p w14:paraId="7BF2481D">
      <w:pPr>
        <w:pStyle w:val="50"/>
        <w:widowControl w:val="0"/>
        <w:spacing w:before="0" w:after="0" w:line="300" w:lineRule="auto"/>
        <w:ind w:left="420" w:leftChars="200"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 xml:space="preserve">账        户： </w:t>
      </w:r>
    </w:p>
    <w:p w14:paraId="24841FA8">
      <w:pPr>
        <w:pStyle w:val="50"/>
        <w:widowControl w:val="0"/>
        <w:spacing w:before="0" w:after="0" w:line="300" w:lineRule="auto"/>
        <w:ind w:left="420" w:leftChars="200"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 xml:space="preserve">投标人授权代表姓名（签字）： </w:t>
      </w:r>
    </w:p>
    <w:p w14:paraId="0BAD1EF9">
      <w:pPr>
        <w:pStyle w:val="50"/>
        <w:widowControl w:val="0"/>
        <w:spacing w:before="0" w:after="0" w:line="300" w:lineRule="auto"/>
        <w:ind w:left="420" w:leftChars="200"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投标人名称（</w:t>
      </w:r>
      <w:r>
        <w:rPr>
          <w:rFonts w:hint="eastAsia" w:ascii="Times New Roman" w:hAnsi="Times New Roman" w:cs="Times New Roman"/>
          <w:color w:val="000000" w:themeColor="text1"/>
          <w:kern w:val="2"/>
          <w:szCs w:val="21"/>
          <w14:textFill>
            <w14:solidFill>
              <w14:schemeClr w14:val="tx1"/>
            </w14:solidFill>
          </w14:textFill>
        </w:rPr>
        <w:t>投标人</w:t>
      </w:r>
      <w:r>
        <w:rPr>
          <w:rFonts w:hint="eastAsia" w:ascii="Times New Roman" w:hAnsi="Times New Roman" w:cs="Times New Roman"/>
          <w:color w:val="000000" w:themeColor="text1"/>
          <w:kern w:val="2"/>
          <w:szCs w:val="21"/>
          <w:lang w:eastAsia="zh-CN"/>
          <w14:textFill>
            <w14:solidFill>
              <w14:schemeClr w14:val="tx1"/>
            </w14:solidFill>
          </w14:textFill>
        </w:rPr>
        <w:t>CA公章</w:t>
      </w:r>
      <w:r>
        <w:rPr>
          <w:rFonts w:ascii="Times New Roman" w:hAnsi="Times New Roman" w:cs="Times New Roman"/>
          <w:color w:val="000000" w:themeColor="text1"/>
          <w:kern w:val="2"/>
          <w:szCs w:val="21"/>
          <w14:textFill>
            <w14:solidFill>
              <w14:schemeClr w14:val="tx1"/>
            </w14:solidFill>
          </w14:textFill>
        </w:rPr>
        <w:t xml:space="preserve">）： </w:t>
      </w:r>
    </w:p>
    <w:p w14:paraId="5705B69B">
      <w:pPr>
        <w:pStyle w:val="50"/>
        <w:widowControl w:val="0"/>
        <w:spacing w:before="0" w:after="0" w:line="300" w:lineRule="auto"/>
        <w:ind w:left="420" w:leftChars="200" w:firstLineChars="200"/>
        <w:rPr>
          <w:rFonts w:ascii="Times New Roman" w:hAnsi="Times New Roman" w:cs="Times New Roman"/>
          <w:color w:val="000000" w:themeColor="text1"/>
          <w:kern w:val="2"/>
          <w:szCs w:val="21"/>
          <w14:textFill>
            <w14:solidFill>
              <w14:schemeClr w14:val="tx1"/>
            </w14:solidFill>
          </w14:textFill>
        </w:rPr>
      </w:pPr>
      <w:r>
        <w:rPr>
          <w:rFonts w:ascii="Times New Roman" w:hAnsi="Times New Roman" w:cs="Times New Roman"/>
          <w:color w:val="000000" w:themeColor="text1"/>
          <w:kern w:val="2"/>
          <w:szCs w:val="21"/>
          <w14:textFill>
            <w14:solidFill>
              <w14:schemeClr w14:val="tx1"/>
            </w14:solidFill>
          </w14:textFill>
        </w:rPr>
        <w:t>日        期：________年____月____日</w:t>
      </w:r>
    </w:p>
    <w:p w14:paraId="1D36EA64">
      <w:pPr>
        <w:snapToGrid w:val="0"/>
        <w:spacing w:line="360" w:lineRule="auto"/>
        <w:jc w:val="right"/>
        <w:rPr>
          <w:rFonts w:ascii="宋体" w:hAnsi="宋体" w:eastAsia="宋体" w:cs="宋体"/>
          <w:color w:val="000000" w:themeColor="text1"/>
          <w:szCs w:val="21"/>
          <w:u w:color="000000"/>
          <w14:textFill>
            <w14:solidFill>
              <w14:schemeClr w14:val="tx1"/>
            </w14:solidFill>
          </w14:textFill>
        </w:rPr>
      </w:pPr>
    </w:p>
    <w:p w14:paraId="0B98D180">
      <w:pPr>
        <w:spacing w:line="360" w:lineRule="auto"/>
        <w:jc w:val="right"/>
        <w:rPr>
          <w:rFonts w:ascii="宋体" w:hAnsi="宋体" w:eastAsia="宋体" w:cs="宋体"/>
          <w:color w:val="000000" w:themeColor="text1"/>
          <w:szCs w:val="21"/>
          <w:u w:color="000000"/>
          <w14:textFill>
            <w14:solidFill>
              <w14:schemeClr w14:val="tx1"/>
            </w14:solidFill>
          </w14:textFill>
        </w:rPr>
      </w:pPr>
    </w:p>
    <w:p w14:paraId="4DA93106">
      <w:pPr>
        <w:jc w:val="left"/>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br w:type="page"/>
      </w:r>
    </w:p>
    <w:p w14:paraId="4D5C1705">
      <w:pPr>
        <w:tabs>
          <w:tab w:val="left" w:pos="576"/>
        </w:tabs>
        <w:spacing w:before="156" w:beforeLines="50" w:after="156" w:afterLines="50" w:line="360" w:lineRule="auto"/>
        <w:outlineLvl w:val="2"/>
        <w:rPr>
          <w:rFonts w:ascii="Times New Roman" w:hAnsi="Times New Roman" w:eastAsia="黑体" w:cs="Times New Roman"/>
          <w:color w:val="000000" w:themeColor="text1"/>
          <w:sz w:val="24"/>
          <w:szCs w:val="24"/>
          <w:u w:color="000000"/>
          <w14:textFill>
            <w14:solidFill>
              <w14:schemeClr w14:val="tx1"/>
            </w14:solidFill>
          </w14:textFill>
        </w:rPr>
      </w:pPr>
      <w:bookmarkStart w:id="62" w:name="_Toc11859492"/>
      <w:bookmarkStart w:id="63" w:name="_Toc415494579"/>
      <w:bookmarkStart w:id="64" w:name="_Toc448069992"/>
      <w:bookmarkStart w:id="65" w:name="_Toc415494575"/>
      <w:bookmarkStart w:id="66" w:name="_Toc452541709"/>
      <w:bookmarkStart w:id="67" w:name="_Toc448069989"/>
      <w:bookmarkStart w:id="68" w:name="_Toc51"/>
      <w:r>
        <w:rPr>
          <w:rFonts w:ascii="Times New Roman" w:hAnsi="Times New Roman" w:eastAsia="黑体" w:cs="Times New Roman"/>
          <w:color w:val="000000" w:themeColor="text1"/>
          <w:sz w:val="24"/>
          <w:szCs w:val="24"/>
          <w:u w:color="000000"/>
          <w14:textFill>
            <w14:solidFill>
              <w14:schemeClr w14:val="tx1"/>
            </w14:solidFill>
          </w14:textFill>
        </w:rPr>
        <w:t xml:space="preserve">6.2 </w:t>
      </w:r>
      <w:r>
        <w:rPr>
          <w:rFonts w:hint="eastAsia" w:ascii="Times New Roman" w:hAnsi="Times New Roman" w:eastAsia="黑体" w:cs="Times New Roman"/>
          <w:color w:val="000000" w:themeColor="text1"/>
          <w:sz w:val="24"/>
          <w:szCs w:val="24"/>
          <w:u w:color="000000"/>
          <w14:textFill>
            <w14:solidFill>
              <w14:schemeClr w14:val="tx1"/>
            </w14:solidFill>
          </w14:textFill>
        </w:rPr>
        <w:t>投标一览表</w:t>
      </w:r>
      <w:bookmarkEnd w:id="62"/>
      <w:bookmarkEnd w:id="63"/>
      <w:bookmarkEnd w:id="64"/>
    </w:p>
    <w:p w14:paraId="1DDDAC3D">
      <w:pPr>
        <w:snapToGrid w:val="0"/>
        <w:spacing w:line="360" w:lineRule="auto"/>
        <w:jc w:val="center"/>
        <w:rPr>
          <w:rFonts w:ascii="黑体" w:hAnsi="黑体" w:eastAsia="黑体" w:cs="Times New Roman"/>
          <w:color w:val="000000" w:themeColor="text1"/>
          <w:sz w:val="28"/>
          <w:szCs w:val="24"/>
          <w:u w:color="000000"/>
          <w:lang w:val="zh-TW"/>
          <w14:textFill>
            <w14:solidFill>
              <w14:schemeClr w14:val="tx1"/>
            </w14:solidFill>
          </w14:textFill>
        </w:rPr>
      </w:pPr>
      <w:r>
        <w:rPr>
          <w:rFonts w:hint="eastAsia" w:ascii="黑体" w:hAnsi="黑体" w:eastAsia="黑体" w:cs="Times New Roman"/>
          <w:color w:val="000000" w:themeColor="text1"/>
          <w:sz w:val="28"/>
          <w:szCs w:val="24"/>
          <w:u w:color="000000"/>
          <w:lang w:val="zh-TW"/>
          <w14:textFill>
            <w14:solidFill>
              <w14:schemeClr w14:val="tx1"/>
            </w14:solidFill>
          </w14:textFill>
        </w:rPr>
        <w:t>投标一览表</w:t>
      </w:r>
    </w:p>
    <w:p w14:paraId="76BDD7A8">
      <w:pPr>
        <w:adjustRightInd w:val="0"/>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投标人全称（</w:t>
      </w:r>
      <w:r>
        <w:rPr>
          <w:rFonts w:hint="eastAsia" w:ascii="Times New Roman" w:hAnsi="Times New Roman" w:cs="Times New Roman"/>
          <w:color w:val="000000" w:themeColor="text1"/>
          <w:sz w:val="24"/>
          <w:szCs w:val="24"/>
          <w14:textFill>
            <w14:solidFill>
              <w14:schemeClr w14:val="tx1"/>
            </w14:solidFill>
          </w14:textFill>
        </w:rPr>
        <w:t>加盖投标人</w:t>
      </w:r>
      <w:r>
        <w:rPr>
          <w:rFonts w:hint="eastAsia" w:ascii="Times New Roman" w:hAnsi="Times New Roman" w:cs="Times New Roman"/>
          <w:color w:val="000000" w:themeColor="text1"/>
          <w:sz w:val="24"/>
          <w:szCs w:val="24"/>
          <w:lang w:eastAsia="zh-CN"/>
          <w14:textFill>
            <w14:solidFill>
              <w14:schemeClr w14:val="tx1"/>
            </w14:solidFill>
          </w14:textFill>
        </w:rPr>
        <w:t>CA公章</w:t>
      </w:r>
      <w:r>
        <w:rPr>
          <w:rFonts w:ascii="Times New Roman" w:hAnsi="Times New Roman" w:cs="Times New Roman"/>
          <w:color w:val="000000" w:themeColor="text1"/>
          <w:sz w:val="24"/>
          <w:szCs w:val="24"/>
          <w14:textFill>
            <w14:solidFill>
              <w14:schemeClr w14:val="tx1"/>
            </w14:solidFill>
          </w14:textFill>
        </w:rPr>
        <w:t>）：</w:t>
      </w:r>
    </w:p>
    <w:p w14:paraId="7A28EC81">
      <w:pPr>
        <w:adjustRightInd w:val="0"/>
        <w:snapToGrid w:val="0"/>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项目名称：</w:t>
      </w:r>
      <w:r>
        <w:rPr>
          <w:rFonts w:hint="eastAsia" w:ascii="Times New Roman" w:hAnsi="Times New Roman" w:cs="Times New Roman"/>
          <w:color w:val="000000" w:themeColor="text1"/>
          <w:sz w:val="24"/>
          <w:szCs w:val="24"/>
          <w14:textFill>
            <w14:solidFill>
              <w14:schemeClr w14:val="tx1"/>
            </w14:solidFill>
          </w14:textFill>
        </w:rPr>
        <w:t>南京机电职业技术学院医务室第三方托管服务项目</w:t>
      </w:r>
    </w:p>
    <w:p w14:paraId="5CAB1C64">
      <w:pPr>
        <w:adjustRightInd w:val="0"/>
        <w:snapToGrid w:val="0"/>
        <w:spacing w:line="360" w:lineRule="auto"/>
        <w:ind w:firstLine="480" w:firstLineChars="200"/>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项目编号：</w:t>
      </w:r>
      <w:r>
        <w:rPr>
          <w:rFonts w:hint="eastAsia" w:ascii="Times New Roman" w:hAnsi="Times New Roman" w:cs="Times New Roman"/>
          <w:color w:val="000000" w:themeColor="text1"/>
          <w:sz w:val="24"/>
          <w:szCs w:val="24"/>
          <w14:textFill>
            <w14:solidFill>
              <w14:schemeClr w14:val="tx1"/>
            </w14:solidFill>
          </w14:textFill>
        </w:rPr>
        <w:t>NIMT-ZB-2026001</w:t>
      </w:r>
    </w:p>
    <w:tbl>
      <w:tblPr>
        <w:tblStyle w:val="28"/>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6"/>
        <w:gridCol w:w="6327"/>
      </w:tblGrid>
      <w:tr w14:paraId="2FBA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 w:hRule="atLeast"/>
          <w:jc w:val="center"/>
        </w:trPr>
        <w:tc>
          <w:tcPr>
            <w:tcW w:w="1394" w:type="pct"/>
            <w:vAlign w:val="center"/>
          </w:tcPr>
          <w:p w14:paraId="3C72BF89">
            <w:pPr>
              <w:pStyle w:val="11"/>
              <w:adjustRightInd w:val="0"/>
              <w:snapToGrid w:val="0"/>
              <w:spacing w:after="0"/>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人民币报价总计</w:t>
            </w:r>
          </w:p>
          <w:p w14:paraId="30451E5D">
            <w:pPr>
              <w:pStyle w:val="11"/>
              <w:adjustRightInd w:val="0"/>
              <w:snapToGrid w:val="0"/>
              <w:spacing w:after="0"/>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（元）</w:t>
            </w:r>
          </w:p>
        </w:tc>
        <w:tc>
          <w:tcPr>
            <w:tcW w:w="3605" w:type="pct"/>
            <w:vAlign w:val="center"/>
          </w:tcPr>
          <w:p w14:paraId="0490875B">
            <w:pPr>
              <w:pStyle w:val="11"/>
              <w:adjustRightInd w:val="0"/>
              <w:snapToGrid w:val="0"/>
              <w:spacing w:after="0"/>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大写：</w:t>
            </w:r>
          </w:p>
          <w:p w14:paraId="28E8C4E1">
            <w:pPr>
              <w:pStyle w:val="50"/>
              <w:widowControl w:val="0"/>
              <w:snapToGrid w:val="0"/>
              <w:spacing w:before="0" w:after="0" w:line="240" w:lineRule="auto"/>
              <w:ind w:firstLine="0"/>
              <w:rPr>
                <w:rFonts w:ascii="Times New Roman" w:hAnsi="Times New Roman" w:cs="Times New Roman"/>
                <w:color w:val="000000" w:themeColor="text1"/>
                <w:kern w:val="2"/>
                <w:szCs w:val="2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小写：</w:t>
            </w:r>
          </w:p>
        </w:tc>
      </w:tr>
      <w:tr w14:paraId="0A8E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394" w:type="pct"/>
            <w:vAlign w:val="center"/>
          </w:tcPr>
          <w:p w14:paraId="7D63F459">
            <w:pPr>
              <w:pStyle w:val="11"/>
              <w:adjustRightInd w:val="0"/>
              <w:snapToGrid w:val="0"/>
              <w:spacing w:after="0"/>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投标人是否属于小微型企业</w:t>
            </w:r>
          </w:p>
        </w:tc>
        <w:tc>
          <w:tcPr>
            <w:tcW w:w="3605" w:type="pct"/>
            <w:vAlign w:val="center"/>
          </w:tcPr>
          <w:p w14:paraId="1E205056">
            <w:pPr>
              <w:pStyle w:val="11"/>
              <w:adjustRightInd w:val="0"/>
              <w:snapToGrid w:val="0"/>
              <w:spacing w:after="0"/>
              <w:rPr>
                <w:rFonts w:ascii="Times New Roman" w:hAnsi="Times New Roman" w:eastAsia="宋体" w:cs="Times New Roman"/>
                <w:color w:val="000000" w:themeColor="text1"/>
                <w:sz w:val="24"/>
                <w:szCs w:val="24"/>
                <w14:textFill>
                  <w14:solidFill>
                    <w14:schemeClr w14:val="tx1"/>
                  </w14:solidFill>
                </w14:textFill>
              </w:rPr>
            </w:pPr>
            <w:r>
              <w:rPr>
                <w:rFonts w:hint="eastAsia" w:ascii="宋体" w:cs="宋体"/>
                <w:color w:val="000000" w:themeColor="text1"/>
                <w:sz w:val="24"/>
                <w:szCs w:val="24"/>
                <w:u w:val="single"/>
                <w14:textFill>
                  <w14:solidFill>
                    <w14:schemeClr w14:val="tx1"/>
                  </w14:solidFill>
                </w14:textFill>
              </w:rPr>
              <w:t xml:space="preserve">     </w:t>
            </w:r>
            <w:r>
              <w:rPr>
                <w:rFonts w:hint="eastAsia" w:ascii="宋体" w:cs="宋体"/>
                <w:color w:val="000000" w:themeColor="text1"/>
                <w:spacing w:val="-3"/>
                <w:sz w:val="24"/>
                <w:szCs w:val="24"/>
                <w:u w:val="single"/>
                <w14:textFill>
                  <w14:solidFill>
                    <w14:schemeClr w14:val="tx1"/>
                  </w14:solidFill>
                </w14:textFill>
              </w:rPr>
              <w:t xml:space="preserve"> </w:t>
            </w:r>
            <w:r>
              <w:rPr>
                <w:rFonts w:hint="eastAsia" w:ascii="宋体" w:cs="宋体"/>
                <w:color w:val="000000" w:themeColor="text1"/>
                <w:sz w:val="24"/>
                <w:szCs w:val="24"/>
                <w:u w:val="single"/>
                <w14:textFill>
                  <w14:solidFill>
                    <w14:schemeClr w14:val="tx1"/>
                  </w14:solidFill>
                </w14:textFill>
              </w:rPr>
              <w:t xml:space="preserve">   </w:t>
            </w:r>
            <w:r>
              <w:rPr>
                <w:rFonts w:hint="eastAsia" w:ascii="宋体" w:cs="宋体"/>
                <w:color w:val="000000" w:themeColor="text1"/>
                <w:spacing w:val="-3"/>
                <w:sz w:val="24"/>
                <w:szCs w:val="24"/>
                <w:u w:val="single"/>
                <w14:textFill>
                  <w14:solidFill>
                    <w14:schemeClr w14:val="tx1"/>
                  </w14:solidFill>
                </w14:textFill>
              </w:rPr>
              <w:t xml:space="preserve"> </w:t>
            </w:r>
            <w:r>
              <w:rPr>
                <w:rFonts w:hint="eastAsia" w:ascii="宋体" w:cs="宋体"/>
                <w:color w:val="000000" w:themeColor="text1"/>
                <w:sz w:val="24"/>
                <w:szCs w:val="24"/>
                <w:u w:val="single"/>
                <w14:textFill>
                  <w14:solidFill>
                    <w14:schemeClr w14:val="tx1"/>
                  </w14:solidFill>
                </w14:textFill>
              </w:rPr>
              <w:t xml:space="preserve">   </w:t>
            </w:r>
            <w:r>
              <w:rPr>
                <w:rFonts w:hint="eastAsia" w:ascii="宋体" w:cs="宋体"/>
                <w:color w:val="000000" w:themeColor="text1"/>
                <w:spacing w:val="-3"/>
                <w:sz w:val="24"/>
                <w:szCs w:val="24"/>
                <w:u w:val="single"/>
                <w14:textFill>
                  <w14:solidFill>
                    <w14:schemeClr w14:val="tx1"/>
                  </w14:solidFill>
                </w14:textFill>
              </w:rPr>
              <w:t xml:space="preserve"> </w:t>
            </w:r>
            <w:r>
              <w:rPr>
                <w:rFonts w:hint="eastAsia" w:ascii="宋体" w:cs="宋体"/>
                <w:color w:val="000000" w:themeColor="text1"/>
                <w:sz w:val="24"/>
                <w:szCs w:val="24"/>
                <w:u w:val="single"/>
                <w14:textFill>
                  <w14:solidFill>
                    <w14:schemeClr w14:val="tx1"/>
                  </w14:solidFill>
                </w14:textFill>
              </w:rPr>
              <w:t xml:space="preserve">   </w:t>
            </w:r>
            <w:r>
              <w:rPr>
                <w:rFonts w:hint="eastAsia" w:ascii="宋体" w:cs="宋体"/>
                <w:color w:val="000000" w:themeColor="text1"/>
                <w:spacing w:val="-3"/>
                <w:sz w:val="24"/>
                <w:szCs w:val="24"/>
                <w:u w:val="single"/>
                <w14:textFill>
                  <w14:solidFill>
                    <w14:schemeClr w14:val="tx1"/>
                  </w14:solidFill>
                </w14:textFill>
              </w:rPr>
              <w:t xml:space="preserve"> </w:t>
            </w:r>
            <w:r>
              <w:rPr>
                <w:rFonts w:hint="eastAsia" w:ascii="宋体" w:cs="宋体"/>
                <w:color w:val="000000" w:themeColor="text1"/>
                <w:sz w:val="24"/>
                <w:szCs w:val="24"/>
                <w:u w:val="single"/>
                <w14:textFill>
                  <w14:solidFill>
                    <w14:schemeClr w14:val="tx1"/>
                  </w14:solidFill>
                </w14:textFill>
              </w:rPr>
              <w:t xml:space="preserve"> </w:t>
            </w:r>
            <w:r>
              <w:rPr>
                <w:rFonts w:hint="eastAsia" w:ascii="宋体" w:cs="宋体"/>
                <w:color w:val="000000" w:themeColor="text1"/>
                <w:spacing w:val="-1"/>
                <w:sz w:val="24"/>
                <w:szCs w:val="24"/>
                <w:u w:val="single"/>
                <w14:textFill>
                  <w14:solidFill>
                    <w14:schemeClr w14:val="tx1"/>
                  </w14:solidFill>
                </w14:textFill>
              </w:rPr>
              <w:t xml:space="preserve"> </w:t>
            </w:r>
            <w:r>
              <w:rPr>
                <w:rFonts w:hint="eastAsia" w:ascii="宋体" w:cs="宋体"/>
                <w:color w:val="000000" w:themeColor="text1"/>
                <w:sz w:val="24"/>
                <w:szCs w:val="24"/>
                <w14:textFill>
                  <w14:solidFill>
                    <w14:schemeClr w14:val="tx1"/>
                  </w14:solidFill>
                </w14:textFill>
              </w:rPr>
              <w:t>（填写“是”或“否”）</w:t>
            </w:r>
          </w:p>
        </w:tc>
      </w:tr>
    </w:tbl>
    <w:p w14:paraId="5C9D6E5A">
      <w:pPr>
        <w:adjustRightInd w:val="0"/>
        <w:snapToGrid w:val="0"/>
        <w:jc w:val="right"/>
        <w:rPr>
          <w:rFonts w:ascii="宋体" w:hAnsi="宋体"/>
          <w:color w:val="000000" w:themeColor="text1"/>
          <w:sz w:val="24"/>
          <w:szCs w:val="24"/>
          <w14:textFill>
            <w14:solidFill>
              <w14:schemeClr w14:val="tx1"/>
            </w14:solidFill>
          </w14:textFill>
        </w:rPr>
      </w:pPr>
    </w:p>
    <w:p w14:paraId="076ACB21">
      <w:pPr>
        <w:adjustRightInd w:val="0"/>
        <w:snapToGrid w:val="0"/>
        <w:spacing w:line="360" w:lineRule="auto"/>
        <w:jc w:val="righ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法定代表人（授权代表）签字：</w:t>
      </w:r>
      <w:r>
        <w:rPr>
          <w:rFonts w:hint="eastAsia"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u w:val="single"/>
          <w14:textFill>
            <w14:solidFill>
              <w14:schemeClr w14:val="tx1"/>
            </w14:solidFill>
          </w14:textFill>
        </w:rPr>
        <w:t xml:space="preserve">              </w:t>
      </w:r>
    </w:p>
    <w:p w14:paraId="015C14A0">
      <w:pPr>
        <w:adjustRightInd w:val="0"/>
        <w:snapToGrid w:val="0"/>
        <w:spacing w:line="360" w:lineRule="auto"/>
        <w:ind w:firstLine="5880" w:firstLineChars="24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w:t>
      </w:r>
      <w:r>
        <w:rPr>
          <w:rFonts w:hint="eastAsia"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hint="eastAsia"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p>
    <w:p w14:paraId="7833D038">
      <w:pPr>
        <w:adjustRightInd w:val="0"/>
        <w:snapToGrid w:val="0"/>
        <w:spacing w:line="440" w:lineRule="exact"/>
        <w:ind w:firstLine="420" w:firstLineChars="200"/>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填写说明：</w:t>
      </w:r>
    </w:p>
    <w:p w14:paraId="70F9271B">
      <w:pPr>
        <w:adjustRightInd w:val="0"/>
        <w:snapToGrid w:val="0"/>
        <w:spacing w:line="360" w:lineRule="exact"/>
        <w:ind w:firstLine="420" w:firstLineChars="200"/>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1.投标一览表必须加盖投标单位投标人</w:t>
      </w:r>
      <w:r>
        <w:rPr>
          <w:rFonts w:hint="eastAsia" w:asciiTheme="minorEastAsia" w:hAnsiTheme="minorEastAsia" w:cstheme="minorEastAsia"/>
          <w:color w:val="000000" w:themeColor="text1"/>
          <w:szCs w:val="21"/>
          <w:lang w:eastAsia="zh-CN"/>
          <w14:textFill>
            <w14:solidFill>
              <w14:schemeClr w14:val="tx1"/>
            </w14:solidFill>
          </w14:textFill>
        </w:rPr>
        <w:t>CA公章</w:t>
      </w:r>
      <w:r>
        <w:rPr>
          <w:rFonts w:hint="eastAsia" w:asciiTheme="minorEastAsia" w:hAnsiTheme="minorEastAsia" w:cstheme="minorEastAsia"/>
          <w:color w:val="000000" w:themeColor="text1"/>
          <w:szCs w:val="21"/>
          <w14:textFill>
            <w14:solidFill>
              <w14:schemeClr w14:val="tx1"/>
            </w14:solidFill>
          </w14:textFill>
        </w:rPr>
        <w:t>，并单独装在小信封内于投标截止时间前与投标文件一起递交。</w:t>
      </w:r>
    </w:p>
    <w:p w14:paraId="5D1A45FC">
      <w:pPr>
        <w:adjustRightInd w:val="0"/>
        <w:snapToGrid w:val="0"/>
        <w:spacing w:line="360" w:lineRule="exact"/>
        <w:ind w:firstLine="420" w:firstLineChars="200"/>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2.“投标人是否属于小微型企业”栏内填写“是”或“否”。如填写“是”，投标人需提供《中小企业声明函</w:t>
      </w:r>
      <w:r>
        <w:rPr>
          <w:rFonts w:hint="eastAsia" w:asciiTheme="minorEastAsia" w:hAnsiTheme="minorEastAsia" w:cstheme="minorEastAsia"/>
          <w:color w:val="000000" w:themeColor="text1"/>
          <w:szCs w:val="21"/>
          <w:lang w:eastAsia="zh-CN"/>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残疾人福利性单位声明函</w:t>
      </w:r>
      <w:r>
        <w:rPr>
          <w:rFonts w:hint="eastAsia" w:asciiTheme="minorEastAsia" w:hAnsiTheme="minorEastAsia" w:cstheme="minorEastAsia"/>
          <w:color w:val="000000" w:themeColor="text1"/>
          <w:szCs w:val="21"/>
          <w:lang w:eastAsia="zh-CN"/>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属于监狱企业的证明文件》。</w:t>
      </w:r>
    </w:p>
    <w:p w14:paraId="0EEC8D0F">
      <w:pPr>
        <w:adjustRightInd w:val="0"/>
        <w:snapToGrid w:val="0"/>
        <w:spacing w:line="360" w:lineRule="exact"/>
        <w:ind w:firstLine="420" w:firstLineChars="200"/>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本项目报价采用总承包方式，投标人的报价应包括但不限于所投产品全部费用、安装调试费、安装中的相关费用、外贸公司进口代理费用（含办理免税手续费用）、国际国内运输（至甲方指定地点）及保险费用、运行维护费用、全部税金、培训、售后服务、进口产品因汇率波动产生的汇总损益</w:t>
      </w:r>
      <w:r>
        <w:rPr>
          <w:rFonts w:hint="eastAsia" w:asciiTheme="minorEastAsia" w:hAnsiTheme="minorEastAsia" w:cstheme="minorEastAsia"/>
          <w:color w:val="000000" w:themeColor="text1"/>
          <w:szCs w:val="21"/>
          <w:lang w:eastAsia="zh-CN"/>
          <w14:textFill>
            <w14:solidFill>
              <w14:schemeClr w14:val="tx1"/>
            </w14:solidFill>
          </w14:textFill>
        </w:rPr>
        <w:t>，以及</w:t>
      </w:r>
      <w:r>
        <w:rPr>
          <w:rFonts w:hint="eastAsia" w:asciiTheme="minorEastAsia" w:hAnsiTheme="minorEastAsia" w:cstheme="minorEastAsia"/>
          <w:color w:val="000000" w:themeColor="text1"/>
          <w:szCs w:val="21"/>
          <w14:textFill>
            <w14:solidFill>
              <w14:schemeClr w14:val="tx1"/>
            </w14:solidFill>
          </w14:textFill>
        </w:rPr>
        <w:t>其他有关的为完成本项目发生的所有费用，招标文件中另有规定的除外。</w:t>
      </w:r>
    </w:p>
    <w:p w14:paraId="738AB6B8">
      <w:pPr>
        <w:spacing w:line="360" w:lineRule="exact"/>
        <w:jc w:val="left"/>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br w:type="page"/>
      </w:r>
    </w:p>
    <w:p w14:paraId="56869A21">
      <w:pPr>
        <w:spacing w:line="360" w:lineRule="auto"/>
        <w:jc w:val="center"/>
        <w:rPr>
          <w:rFonts w:ascii="黑体" w:hAnsi="黑体" w:eastAsia="黑体" w:cs="Times New Roman"/>
          <w:color w:val="000000" w:themeColor="text1"/>
          <w:sz w:val="28"/>
          <w:szCs w:val="28"/>
          <w14:textFill>
            <w14:solidFill>
              <w14:schemeClr w14:val="tx1"/>
            </w14:solidFill>
          </w14:textFill>
        </w:rPr>
      </w:pPr>
      <w:r>
        <w:rPr>
          <w:rFonts w:ascii="黑体" w:hAnsi="黑体" w:eastAsia="黑体" w:cs="Times New Roman"/>
          <w:color w:val="000000" w:themeColor="text1"/>
          <w:sz w:val="28"/>
          <w:szCs w:val="28"/>
          <w14:textFill>
            <w14:solidFill>
              <w14:schemeClr w14:val="tx1"/>
            </w14:solidFill>
          </w14:textFill>
        </w:rPr>
        <w:t>投标报价明细表</w:t>
      </w:r>
      <w:r>
        <w:rPr>
          <w:rFonts w:hint="eastAsia" w:ascii="黑体" w:hAnsi="黑体" w:eastAsia="黑体" w:cs="Times New Roman"/>
          <w:color w:val="000000" w:themeColor="text1"/>
          <w:sz w:val="28"/>
          <w:szCs w:val="28"/>
          <w14:textFill>
            <w14:solidFill>
              <w14:schemeClr w14:val="tx1"/>
            </w14:solidFill>
          </w14:textFill>
        </w:rPr>
        <w:t>（</w:t>
      </w:r>
      <w:r>
        <w:rPr>
          <w:rFonts w:ascii="黑体" w:hAnsi="黑体" w:eastAsia="黑体" w:cs="Times New Roman"/>
          <w:color w:val="000000" w:themeColor="text1"/>
          <w:sz w:val="28"/>
          <w:szCs w:val="28"/>
          <w14:textFill>
            <w14:solidFill>
              <w14:schemeClr w14:val="tx1"/>
            </w14:solidFill>
          </w14:textFill>
        </w:rPr>
        <w:t>格式</w:t>
      </w:r>
      <w:r>
        <w:rPr>
          <w:rFonts w:hint="eastAsia" w:ascii="黑体" w:hAnsi="黑体" w:eastAsia="黑体" w:cs="Times New Roman"/>
          <w:color w:val="000000" w:themeColor="text1"/>
          <w:sz w:val="28"/>
          <w:szCs w:val="28"/>
          <w:lang w:val="en-US" w:eastAsia="zh-CN"/>
          <w14:textFill>
            <w14:solidFill>
              <w14:schemeClr w14:val="tx1"/>
            </w14:solidFill>
          </w14:textFill>
        </w:rPr>
        <w:t>自拟</w:t>
      </w:r>
      <w:r>
        <w:rPr>
          <w:rFonts w:hint="eastAsia" w:ascii="黑体" w:hAnsi="黑体" w:eastAsia="黑体" w:cs="Times New Roman"/>
          <w:color w:val="000000" w:themeColor="text1"/>
          <w:sz w:val="28"/>
          <w:szCs w:val="28"/>
          <w14:textFill>
            <w14:solidFill>
              <w14:schemeClr w14:val="tx1"/>
            </w14:solidFill>
          </w14:textFill>
        </w:rPr>
        <w:t>）</w:t>
      </w:r>
    </w:p>
    <w:p w14:paraId="1E21A541">
      <w:pPr>
        <w:rPr>
          <w:rFonts w:ascii="Times New Roman" w:hAnsi="Times New Roman" w:eastAsia="黑体" w:cs="Times New Roman"/>
          <w:color w:val="000000" w:themeColor="text1"/>
          <w:sz w:val="24"/>
          <w:szCs w:val="24"/>
          <w:u w:color="000000"/>
          <w14:textFill>
            <w14:solidFill>
              <w14:schemeClr w14:val="tx1"/>
            </w14:solidFill>
          </w14:textFill>
        </w:rPr>
      </w:pPr>
      <w:bookmarkStart w:id="69" w:name="_Toc55"/>
      <w:bookmarkStart w:id="70" w:name="_Toc415494580"/>
      <w:bookmarkStart w:id="71" w:name="_Toc11859493"/>
      <w:bookmarkStart w:id="72" w:name="_Toc448069993"/>
      <w:r>
        <w:rPr>
          <w:rFonts w:ascii="Times New Roman" w:hAnsi="Times New Roman" w:eastAsia="黑体" w:cs="Times New Roman"/>
          <w:color w:val="000000" w:themeColor="text1"/>
          <w:sz w:val="24"/>
          <w:szCs w:val="24"/>
          <w:u w:color="000000"/>
          <w14:textFill>
            <w14:solidFill>
              <w14:schemeClr w14:val="tx1"/>
            </w14:solidFill>
          </w14:textFill>
        </w:rPr>
        <w:br w:type="page"/>
      </w:r>
    </w:p>
    <w:p w14:paraId="666F754C">
      <w:pPr>
        <w:jc w:val="left"/>
        <w:rPr>
          <w:rFonts w:ascii="Times New Roman" w:hAnsi="Times New Roman" w:eastAsia="黑体" w:cs="Times New Roman"/>
          <w:color w:val="000000" w:themeColor="text1"/>
          <w:sz w:val="24"/>
          <w:szCs w:val="24"/>
          <w:u w:color="000000"/>
          <w14:textFill>
            <w14:solidFill>
              <w14:schemeClr w14:val="tx1"/>
            </w14:solidFill>
          </w14:textFill>
        </w:rPr>
      </w:pPr>
      <w:r>
        <w:rPr>
          <w:rFonts w:ascii="Times New Roman" w:hAnsi="Times New Roman" w:eastAsia="黑体" w:cs="Times New Roman"/>
          <w:color w:val="000000" w:themeColor="text1"/>
          <w:sz w:val="24"/>
          <w:szCs w:val="24"/>
          <w:u w:color="000000"/>
          <w14:textFill>
            <w14:solidFill>
              <w14:schemeClr w14:val="tx1"/>
            </w14:solidFill>
          </w14:textFill>
        </w:rPr>
        <w:t xml:space="preserve">6.3 </w:t>
      </w:r>
      <w:r>
        <w:rPr>
          <w:rFonts w:hint="eastAsia" w:ascii="Times New Roman" w:hAnsi="Times New Roman" w:eastAsia="黑体" w:cs="Times New Roman"/>
          <w:color w:val="000000" w:themeColor="text1"/>
          <w:sz w:val="24"/>
          <w:szCs w:val="24"/>
          <w:u w:color="000000"/>
          <w14:textFill>
            <w14:solidFill>
              <w14:schemeClr w14:val="tx1"/>
            </w14:solidFill>
          </w14:textFill>
        </w:rPr>
        <w:t>法人授权书</w:t>
      </w:r>
      <w:bookmarkEnd w:id="69"/>
      <w:bookmarkEnd w:id="70"/>
      <w:bookmarkEnd w:id="71"/>
      <w:bookmarkEnd w:id="72"/>
    </w:p>
    <w:p w14:paraId="4D99BA67">
      <w:pPr>
        <w:spacing w:line="360" w:lineRule="auto"/>
        <w:jc w:val="center"/>
        <w:rPr>
          <w:rFonts w:ascii="黑体" w:hAnsi="黑体" w:eastAsia="黑体" w:cs="Times New Roman Bold"/>
          <w:color w:val="000000" w:themeColor="text1"/>
          <w:sz w:val="28"/>
          <w:szCs w:val="28"/>
          <w:u w:color="000000"/>
          <w14:textFill>
            <w14:solidFill>
              <w14:schemeClr w14:val="tx1"/>
            </w14:solidFill>
          </w14:textFill>
        </w:rPr>
      </w:pPr>
      <w:r>
        <w:rPr>
          <w:rFonts w:hint="eastAsia" w:ascii="黑体" w:hAnsi="黑体" w:eastAsia="黑体" w:cs="宋体"/>
          <w:bCs/>
          <w:color w:val="000000" w:themeColor="text1"/>
          <w:sz w:val="28"/>
          <w:szCs w:val="28"/>
          <w:u w:color="000000"/>
          <w:lang w:val="zh-TW"/>
          <w14:textFill>
            <w14:solidFill>
              <w14:schemeClr w14:val="tx1"/>
            </w14:solidFill>
          </w14:textFill>
        </w:rPr>
        <w:t>法人授权书</w:t>
      </w:r>
    </w:p>
    <w:p w14:paraId="0F39D215">
      <w:pPr>
        <w:shd w:val="clear" w:color="auto" w:fill="FFFFFF"/>
        <w:snapToGrid w:val="0"/>
        <w:spacing w:line="360" w:lineRule="auto"/>
        <w:ind w:firstLine="482"/>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本授权书声明：____________（</w:t>
      </w:r>
      <w:r>
        <w:rPr>
          <w:rFonts w:hint="eastAsia" w:ascii="Times New Roman" w:hAnsi="Times New Roman" w:cs="Times New Roman"/>
          <w:bCs/>
          <w:color w:val="000000" w:themeColor="text1"/>
          <w:sz w:val="24"/>
          <w:szCs w:val="24"/>
          <w14:textFill>
            <w14:solidFill>
              <w14:schemeClr w14:val="tx1"/>
            </w14:solidFill>
          </w14:textFill>
        </w:rPr>
        <w:t>投标人</w:t>
      </w:r>
      <w:r>
        <w:rPr>
          <w:rFonts w:ascii="Times New Roman" w:hAnsi="Times New Roman" w:cs="Times New Roman"/>
          <w:bCs/>
          <w:color w:val="000000" w:themeColor="text1"/>
          <w:sz w:val="24"/>
          <w:szCs w:val="24"/>
          <w14:textFill>
            <w14:solidFill>
              <w14:schemeClr w14:val="tx1"/>
            </w14:solidFill>
          </w14:textFill>
        </w:rPr>
        <w:t>名称）授权________________（被授权人的姓名、职务）为我方就</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hint="eastAsia" w:ascii="Times New Roman" w:hAnsi="Times New Roman" w:cs="Times New Roman"/>
          <w:bCs/>
          <w:color w:val="000000" w:themeColor="text1"/>
          <w:sz w:val="24"/>
          <w:szCs w:val="24"/>
          <w:u w:val="single"/>
          <w14:textFill>
            <w14:solidFill>
              <w14:schemeClr w14:val="tx1"/>
            </w14:solidFill>
          </w14:textFill>
        </w:rPr>
        <w:t>项目</w:t>
      </w:r>
      <w:r>
        <w:rPr>
          <w:rFonts w:ascii="Times New Roman" w:hAnsi="Times New Roman" w:cs="Times New Roman"/>
          <w:bCs/>
          <w:color w:val="000000" w:themeColor="text1"/>
          <w:sz w:val="24"/>
          <w:szCs w:val="24"/>
          <w14:textFill>
            <w14:solidFill>
              <w14:schemeClr w14:val="tx1"/>
            </w14:solidFill>
          </w14:textFill>
        </w:rPr>
        <w:t>（</w:t>
      </w:r>
      <w:r>
        <w:rPr>
          <w:rFonts w:hint="eastAsia" w:ascii="Times New Roman" w:hAnsi="Times New Roman" w:cs="Times New Roman"/>
          <w:bCs/>
          <w:color w:val="000000" w:themeColor="text1"/>
          <w:sz w:val="24"/>
          <w:szCs w:val="24"/>
          <w14:textFill>
            <w14:solidFill>
              <w14:schemeClr w14:val="tx1"/>
            </w14:solidFill>
          </w14:textFill>
        </w:rPr>
        <w:t>项目</w:t>
      </w:r>
      <w:r>
        <w:rPr>
          <w:rFonts w:ascii="Times New Roman" w:hAnsi="Times New Roman" w:cs="Times New Roman"/>
          <w:bCs/>
          <w:color w:val="000000" w:themeColor="text1"/>
          <w:sz w:val="24"/>
          <w:szCs w:val="24"/>
          <w14:textFill>
            <w14:solidFill>
              <w14:schemeClr w14:val="tx1"/>
            </w14:solidFill>
          </w14:textFill>
        </w:rPr>
        <w:t>编号</w:t>
      </w:r>
      <w:r>
        <w:rPr>
          <w:rFonts w:hint="eastAsia" w:ascii="Times New Roman" w:hAnsi="Times New Roman" w:cs="Times New Roman"/>
          <w:bCs/>
          <w:color w:val="000000" w:themeColor="text1"/>
          <w:sz w:val="24"/>
          <w:szCs w:val="24"/>
          <w14:textFill>
            <w14:solidFill>
              <w14:schemeClr w14:val="tx1"/>
            </w14:solidFill>
          </w14:textFill>
        </w:rPr>
        <w:t>：</w:t>
      </w:r>
      <w:r>
        <w:rPr>
          <w:rFonts w:hint="eastAsia"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）采购活动的合法代理人，以本单位名义全权处理一切与该项目采购有关的事务。</w:t>
      </w:r>
    </w:p>
    <w:p w14:paraId="54CBF68E">
      <w:pPr>
        <w:shd w:val="clear" w:color="auto" w:fill="FFFFFF"/>
        <w:snapToGrid w:val="0"/>
        <w:spacing w:line="360" w:lineRule="auto"/>
        <w:ind w:firstLine="482"/>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本授权书于______年____月____日起生效，特此声明。</w:t>
      </w:r>
    </w:p>
    <w:p w14:paraId="1F10E267">
      <w:pPr>
        <w:shd w:val="clear" w:color="auto" w:fill="FFFFFF"/>
        <w:snapToGrid w:val="0"/>
        <w:spacing w:line="360" w:lineRule="auto"/>
        <w:ind w:firstLine="480"/>
        <w:rPr>
          <w:rFonts w:ascii="Times New Roman" w:hAnsi="Times New Roman" w:cs="Times New Roman"/>
          <w:bCs/>
          <w:color w:val="000000" w:themeColor="text1"/>
          <w14:textFill>
            <w14:solidFill>
              <w14:schemeClr w14:val="tx1"/>
            </w14:solidFill>
          </w14:textFill>
        </w:rPr>
      </w:pPr>
    </w:p>
    <w:p w14:paraId="3E8508A7">
      <w:pPr>
        <w:shd w:val="clear" w:color="auto" w:fill="FFFFFF"/>
        <w:snapToGrid w:val="0"/>
        <w:spacing w:line="360" w:lineRule="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授权单位盖章：_________________________________</w:t>
      </w:r>
    </w:p>
    <w:p w14:paraId="5E4E8D20">
      <w:pPr>
        <w:shd w:val="clear" w:color="auto" w:fill="FFFFFF"/>
        <w:snapToGrid w:val="0"/>
        <w:spacing w:line="360" w:lineRule="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单位名称：_____________________________________</w:t>
      </w:r>
    </w:p>
    <w:p w14:paraId="61DB17B6">
      <w:pPr>
        <w:shd w:val="clear" w:color="auto" w:fill="FFFFFF"/>
        <w:snapToGrid w:val="0"/>
        <w:spacing w:line="360" w:lineRule="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法人签字：_____________________________________</w:t>
      </w:r>
    </w:p>
    <w:p w14:paraId="54A3B8AF">
      <w:pPr>
        <w:shd w:val="clear" w:color="auto" w:fill="FFFFFF"/>
        <w:snapToGrid w:val="0"/>
        <w:spacing w:line="360" w:lineRule="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代理人（被授权人）签字：_______________________</w:t>
      </w:r>
    </w:p>
    <w:p w14:paraId="4D6E980F">
      <w:pPr>
        <w:shd w:val="clear" w:color="auto" w:fill="FFFFFF"/>
        <w:snapToGrid w:val="0"/>
        <w:spacing w:line="360" w:lineRule="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职    务：_____________________________________</w:t>
      </w:r>
    </w:p>
    <w:p w14:paraId="1A5548A1">
      <w:pPr>
        <w:shd w:val="clear" w:color="auto" w:fill="FFFFFF"/>
        <w:snapToGrid w:val="0"/>
        <w:spacing w:line="360" w:lineRule="auto"/>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w:t>
      </w:r>
      <w:r>
        <w:rPr>
          <w:rFonts w:hint="eastAsia"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地址：</w:t>
      </w:r>
      <w:r>
        <w:rPr>
          <w:rFonts w:ascii="Times New Roman" w:hAnsi="Times New Roman" w:cs="Times New Roman"/>
          <w:bCs/>
          <w:color w:val="000000" w:themeColor="text1"/>
          <w:sz w:val="24"/>
          <w:szCs w:val="24"/>
          <w:u w:val="single"/>
          <w14:textFill>
            <w14:solidFill>
              <w14:schemeClr w14:val="tx1"/>
            </w14:solidFill>
          </w14:textFill>
        </w:rPr>
        <w:t xml:space="preserve">                                         </w:t>
      </w:r>
    </w:p>
    <w:p w14:paraId="5773A517">
      <w:pPr>
        <w:shd w:val="clear" w:color="auto" w:fill="FFFFFF"/>
        <w:snapToGrid w:val="0"/>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日期：______年____月____日</w:t>
      </w:r>
    </w:p>
    <w:p w14:paraId="0E5C7C9E">
      <w:pPr>
        <w:spacing w:line="360" w:lineRule="auto"/>
        <w:rPr>
          <w:rFonts w:ascii="宋体" w:hAnsi="宋体" w:eastAsia="宋体" w:cs="宋体"/>
          <w:b/>
          <w:bCs/>
          <w:color w:val="000000" w:themeColor="text1"/>
          <w:kern w:val="11"/>
          <w:szCs w:val="21"/>
          <w:u w:val="single" w:color="000000"/>
          <w:lang w:val="zh-TW"/>
          <w14:textFill>
            <w14:solidFill>
              <w14:schemeClr w14:val="tx1"/>
            </w14:solidFill>
          </w14:textFill>
        </w:rPr>
      </w:pPr>
    </w:p>
    <w:p w14:paraId="67875765">
      <w:pPr>
        <w:spacing w:line="360" w:lineRule="auto"/>
        <w:ind w:right="420"/>
        <w:rPr>
          <w:rFonts w:ascii="宋体" w:hAnsi="宋体" w:eastAsia="PMingLiU" w:cs="宋体"/>
          <w:color w:val="000000" w:themeColor="text1"/>
          <w:szCs w:val="21"/>
          <w:u w:color="000000"/>
          <w:lang w:val="zh-TW"/>
          <w14:textFill>
            <w14:solidFill>
              <w14:schemeClr w14:val="tx1"/>
            </w14:solidFill>
          </w14:textFill>
        </w:rPr>
      </w:pPr>
    </w:p>
    <w:p w14:paraId="711485FA">
      <w:pPr>
        <w:spacing w:line="360" w:lineRule="auto"/>
        <w:ind w:right="420"/>
        <w:rPr>
          <w:rFonts w:ascii="宋体" w:hAnsi="宋体" w:eastAsia="宋体" w:cs="宋体"/>
          <w:b/>
          <w:color w:val="000000" w:themeColor="text1"/>
          <w:szCs w:val="21"/>
          <w:u w:color="000000"/>
          <w:lang w:val="zh-TW"/>
          <w14:textFill>
            <w14:solidFill>
              <w14:schemeClr w14:val="tx1"/>
            </w14:solidFill>
          </w14:textFill>
        </w:rPr>
      </w:pPr>
      <w:r>
        <w:rPr>
          <w:rFonts w:hint="eastAsia" w:ascii="宋体" w:hAnsi="宋体" w:eastAsia="宋体" w:cs="宋体"/>
          <w:b/>
          <w:color w:val="000000" w:themeColor="text1"/>
          <w:szCs w:val="21"/>
          <w:u w:color="000000"/>
          <w:lang w:val="zh-TW"/>
          <w14:textFill>
            <w14:solidFill>
              <w14:schemeClr w14:val="tx1"/>
            </w14:solidFill>
          </w14:textFill>
        </w:rPr>
        <w:t>注：代理人应持本授权书参加投标，并提供一份原件在投标文件中。</w:t>
      </w:r>
    </w:p>
    <w:p w14:paraId="630FE7D7">
      <w:pPr>
        <w:spacing w:line="360" w:lineRule="auto"/>
        <w:ind w:right="420"/>
        <w:rPr>
          <w:rFonts w:ascii="宋体" w:hAnsi="宋体" w:eastAsia="宋体" w:cs="宋体"/>
          <w:color w:val="000000" w:themeColor="text1"/>
          <w:szCs w:val="21"/>
          <w:u w:color="000000"/>
          <w14:textFill>
            <w14:solidFill>
              <w14:schemeClr w14:val="tx1"/>
            </w14:solidFill>
          </w14:textFill>
        </w:rPr>
      </w:pPr>
    </w:p>
    <w:p w14:paraId="744AB5BF">
      <w:pPr>
        <w:jc w:val="left"/>
        <w:rPr>
          <w:rFonts w:ascii="宋体" w:hAnsi="宋体" w:eastAsia="宋体" w:cs="宋体"/>
          <w:color w:val="000000" w:themeColor="text1"/>
          <w:szCs w:val="21"/>
          <w:u w:color="000000"/>
          <w14:textFill>
            <w14:solidFill>
              <w14:schemeClr w14:val="tx1"/>
            </w14:solidFill>
          </w14:textFill>
        </w:rPr>
      </w:pPr>
      <w:r>
        <w:rPr>
          <w:rFonts w:ascii="宋体" w:hAnsi="宋体" w:eastAsia="宋体" w:cs="宋体"/>
          <w:color w:val="000000" w:themeColor="text1"/>
          <w:szCs w:val="21"/>
          <w:u w:color="000000"/>
          <w14:textFill>
            <w14:solidFill>
              <w14:schemeClr w14:val="tx1"/>
            </w14:solidFill>
          </w14:textFill>
        </w:rPr>
        <w:br w:type="page"/>
      </w:r>
    </w:p>
    <w:p w14:paraId="29F8E5E0">
      <w:pPr>
        <w:snapToGrid w:val="0"/>
        <w:spacing w:line="360" w:lineRule="auto"/>
        <w:ind w:firstLine="482"/>
        <w:rPr>
          <w:rFonts w:ascii="宋体" w:hAnsi="宋体" w:eastAsia="PMingLiU" w:cs="宋体"/>
          <w:color w:val="000000" w:themeColor="text1"/>
          <w:sz w:val="24"/>
          <w:szCs w:val="24"/>
          <w:u w:color="000000"/>
          <w:lang w:val="zh-TW"/>
          <w14:textFill>
            <w14:solidFill>
              <w14:schemeClr w14:val="tx1"/>
            </w14:solidFill>
          </w14:textFill>
        </w:rPr>
      </w:pPr>
      <w:r>
        <w:rPr>
          <w:rFonts w:hint="eastAsia" w:ascii="宋体" w:hAnsi="宋体" w:eastAsia="宋体" w:cs="宋体"/>
          <w:color w:val="000000" w:themeColor="text1"/>
          <w:sz w:val="24"/>
          <w:szCs w:val="24"/>
          <w:u w:color="000000"/>
          <w:lang w:val="zh-TW"/>
          <w14:textFill>
            <w14:solidFill>
              <w14:schemeClr w14:val="tx1"/>
            </w14:solidFill>
          </w14:textFill>
        </w:rPr>
        <w:t>附：</w:t>
      </w:r>
      <w:r>
        <w:rPr>
          <w:rFonts w:ascii="Times New Roman" w:hAnsi="Times New Roman" w:cs="Times New Roman"/>
          <w:bCs/>
          <w:color w:val="000000" w:themeColor="text1"/>
          <w:sz w:val="24"/>
          <w:szCs w:val="24"/>
          <w14:textFill>
            <w14:solidFill>
              <w14:schemeClr w14:val="tx1"/>
            </w14:solidFill>
          </w14:textFill>
        </w:rPr>
        <w:t>法人</w:t>
      </w:r>
      <w:r>
        <w:rPr>
          <w:rFonts w:hint="eastAsia" w:ascii="宋体" w:hAnsi="宋体" w:eastAsia="宋体" w:cs="宋体"/>
          <w:color w:val="000000" w:themeColor="text1"/>
          <w:sz w:val="24"/>
          <w:szCs w:val="24"/>
          <w:u w:color="000000"/>
          <w:lang w:val="zh-TW"/>
          <w14:textFill>
            <w14:solidFill>
              <w14:schemeClr w14:val="tx1"/>
            </w14:solidFill>
          </w14:textFill>
        </w:rPr>
        <w:t>身份证复印件（需同时提供正面及背面）</w:t>
      </w:r>
    </w:p>
    <w:tbl>
      <w:tblPr>
        <w:tblStyle w:val="28"/>
        <w:tblW w:w="800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001"/>
        <w:gridCol w:w="4001"/>
      </w:tblGrid>
      <w:tr w14:paraId="279B5E2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00" w:hRule="atLeast"/>
          <w:jc w:val="center"/>
        </w:trPr>
        <w:tc>
          <w:tcPr>
            <w:tcW w:w="4001" w:type="dxa"/>
            <w:vAlign w:val="center"/>
          </w:tcPr>
          <w:p w14:paraId="5323BEFC">
            <w:pPr>
              <w:jc w:val="center"/>
              <w:rPr>
                <w:rFonts w:ascii="宋体" w:hAnsi="宋体"/>
                <w:color w:val="000000" w:themeColor="text1"/>
                <w:sz w:val="24"/>
                <w:szCs w:val="24"/>
                <w14:textFill>
                  <w14:solidFill>
                    <w14:schemeClr w14:val="tx1"/>
                  </w14:solidFill>
                </w14:textFill>
              </w:rPr>
            </w:pPr>
            <w:r>
              <w:rPr>
                <w:rFonts w:hint="eastAsia" w:ascii="Times New Roman" w:hAnsi="Times New Roman" w:cs="Times New Roman"/>
                <w:bCs/>
                <w:color w:val="000000" w:themeColor="text1"/>
                <w:sz w:val="24"/>
                <w:szCs w:val="24"/>
                <w14:textFill>
                  <w14:solidFill>
                    <w14:schemeClr w14:val="tx1"/>
                  </w14:solidFill>
                </w14:textFill>
              </w:rPr>
              <w:t>法人</w:t>
            </w:r>
            <w:r>
              <w:rPr>
                <w:rFonts w:hint="eastAsia" w:ascii="宋体" w:hAnsi="宋体"/>
                <w:color w:val="000000" w:themeColor="text1"/>
                <w:sz w:val="24"/>
                <w:szCs w:val="24"/>
                <w14:textFill>
                  <w14:solidFill>
                    <w14:schemeClr w14:val="tx1"/>
                  </w14:solidFill>
                </w14:textFill>
              </w:rPr>
              <w:t>身份证复印件正面</w:t>
            </w:r>
          </w:p>
        </w:tc>
        <w:tc>
          <w:tcPr>
            <w:tcW w:w="4001" w:type="dxa"/>
            <w:vAlign w:val="center"/>
          </w:tcPr>
          <w:p w14:paraId="30181D98">
            <w:pPr>
              <w:jc w:val="center"/>
              <w:rPr>
                <w:rFonts w:ascii="宋体" w:hAnsi="宋体"/>
                <w:color w:val="000000" w:themeColor="text1"/>
                <w:sz w:val="24"/>
                <w:szCs w:val="24"/>
                <w14:textFill>
                  <w14:solidFill>
                    <w14:schemeClr w14:val="tx1"/>
                  </w14:solidFill>
                </w14:textFill>
              </w:rPr>
            </w:pPr>
            <w:r>
              <w:rPr>
                <w:rFonts w:hint="eastAsia" w:ascii="Times New Roman" w:hAnsi="Times New Roman" w:cs="Times New Roman"/>
                <w:bCs/>
                <w:color w:val="000000" w:themeColor="text1"/>
                <w:sz w:val="24"/>
                <w:szCs w:val="24"/>
                <w14:textFill>
                  <w14:solidFill>
                    <w14:schemeClr w14:val="tx1"/>
                  </w14:solidFill>
                </w14:textFill>
              </w:rPr>
              <w:t>法人</w:t>
            </w:r>
            <w:r>
              <w:rPr>
                <w:rFonts w:hint="eastAsia" w:ascii="宋体" w:hAnsi="宋体"/>
                <w:color w:val="000000" w:themeColor="text1"/>
                <w:sz w:val="24"/>
                <w:szCs w:val="24"/>
                <w14:textFill>
                  <w14:solidFill>
                    <w14:schemeClr w14:val="tx1"/>
                  </w14:solidFill>
                </w14:textFill>
              </w:rPr>
              <w:t>身份证复印件背面</w:t>
            </w:r>
          </w:p>
        </w:tc>
      </w:tr>
    </w:tbl>
    <w:p w14:paraId="4E3C5AF9">
      <w:pPr>
        <w:snapToGrid w:val="0"/>
        <w:spacing w:line="360" w:lineRule="auto"/>
        <w:ind w:firstLine="482"/>
        <w:rPr>
          <w:rFonts w:ascii="宋体" w:hAnsi="宋体" w:eastAsia="PMingLiU" w:cs="宋体"/>
          <w:color w:val="000000" w:themeColor="text1"/>
          <w:sz w:val="24"/>
          <w:szCs w:val="24"/>
          <w:u w:color="000000"/>
          <w14:textFill>
            <w14:solidFill>
              <w14:schemeClr w14:val="tx1"/>
            </w14:solidFill>
          </w14:textFill>
        </w:rPr>
      </w:pPr>
    </w:p>
    <w:p w14:paraId="249F1349">
      <w:pPr>
        <w:snapToGrid w:val="0"/>
        <w:spacing w:line="360" w:lineRule="auto"/>
        <w:ind w:firstLine="482"/>
        <w:rPr>
          <w:rFonts w:ascii="宋体" w:hAnsi="宋体" w:eastAsia="PMingLiU" w:cs="宋体"/>
          <w:color w:val="000000" w:themeColor="text1"/>
          <w:sz w:val="24"/>
          <w:szCs w:val="24"/>
          <w:u w:color="000000"/>
          <w14:textFill>
            <w14:solidFill>
              <w14:schemeClr w14:val="tx1"/>
            </w14:solidFill>
          </w14:textFill>
        </w:rPr>
      </w:pPr>
    </w:p>
    <w:p w14:paraId="650359B1">
      <w:pPr>
        <w:snapToGrid w:val="0"/>
        <w:spacing w:line="360" w:lineRule="auto"/>
        <w:ind w:firstLine="482"/>
        <w:rPr>
          <w:rFonts w:ascii="宋体" w:hAnsi="宋体" w:eastAsia="PMingLiU" w:cs="宋体"/>
          <w:color w:val="000000" w:themeColor="text1"/>
          <w:sz w:val="24"/>
          <w:szCs w:val="24"/>
          <w:u w:color="000000"/>
          <w:lang w:val="zh-TW"/>
          <w14:textFill>
            <w14:solidFill>
              <w14:schemeClr w14:val="tx1"/>
            </w14:solidFill>
          </w14:textFill>
        </w:rPr>
      </w:pPr>
      <w:r>
        <w:rPr>
          <w:rFonts w:hint="eastAsia" w:ascii="宋体" w:hAnsi="宋体" w:eastAsia="宋体" w:cs="宋体"/>
          <w:color w:val="000000" w:themeColor="text1"/>
          <w:sz w:val="24"/>
          <w:szCs w:val="24"/>
          <w:u w:color="000000"/>
          <w:lang w:val="zh-TW"/>
          <w14:textFill>
            <w14:solidFill>
              <w14:schemeClr w14:val="tx1"/>
            </w14:solidFill>
          </w14:textFill>
        </w:rPr>
        <w:t>附：委托代理人身份证复印件（需同时提供正面及背面）</w:t>
      </w:r>
    </w:p>
    <w:tbl>
      <w:tblPr>
        <w:tblStyle w:val="28"/>
        <w:tblW w:w="800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001"/>
        <w:gridCol w:w="4001"/>
      </w:tblGrid>
      <w:tr w14:paraId="652966C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493" w:hRule="atLeast"/>
          <w:jc w:val="center"/>
        </w:trPr>
        <w:tc>
          <w:tcPr>
            <w:tcW w:w="4001" w:type="dxa"/>
            <w:vAlign w:val="center"/>
          </w:tcPr>
          <w:p w14:paraId="5CAFF1D6">
            <w:pPr>
              <w:jc w:val="center"/>
              <w:rPr>
                <w:rFonts w:ascii="宋体" w:hAnsi="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u w:color="000000"/>
                <w:lang w:val="zh-TW"/>
                <w14:textFill>
                  <w14:solidFill>
                    <w14:schemeClr w14:val="tx1"/>
                  </w14:solidFill>
                </w14:textFill>
              </w:rPr>
              <w:t>代理人</w:t>
            </w:r>
            <w:r>
              <w:rPr>
                <w:rFonts w:hint="eastAsia" w:ascii="宋体" w:hAnsi="宋体"/>
                <w:color w:val="000000" w:themeColor="text1"/>
                <w:sz w:val="24"/>
                <w:szCs w:val="24"/>
                <w14:textFill>
                  <w14:solidFill>
                    <w14:schemeClr w14:val="tx1"/>
                  </w14:solidFill>
                </w14:textFill>
              </w:rPr>
              <w:t>身份证复印件正面</w:t>
            </w:r>
          </w:p>
        </w:tc>
        <w:tc>
          <w:tcPr>
            <w:tcW w:w="4001" w:type="dxa"/>
            <w:vAlign w:val="center"/>
          </w:tcPr>
          <w:p w14:paraId="3B7DEAB4">
            <w:pPr>
              <w:jc w:val="center"/>
              <w:rPr>
                <w:rFonts w:ascii="宋体" w:hAnsi="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u w:color="000000"/>
                <w:lang w:val="zh-TW"/>
                <w14:textFill>
                  <w14:solidFill>
                    <w14:schemeClr w14:val="tx1"/>
                  </w14:solidFill>
                </w14:textFill>
              </w:rPr>
              <w:t>代理人</w:t>
            </w:r>
            <w:r>
              <w:rPr>
                <w:rFonts w:hint="eastAsia" w:ascii="宋体" w:hAnsi="宋体"/>
                <w:color w:val="000000" w:themeColor="text1"/>
                <w:sz w:val="24"/>
                <w:szCs w:val="24"/>
                <w14:textFill>
                  <w14:solidFill>
                    <w14:schemeClr w14:val="tx1"/>
                  </w14:solidFill>
                </w14:textFill>
              </w:rPr>
              <w:t>身份证复印件背面</w:t>
            </w:r>
          </w:p>
        </w:tc>
      </w:tr>
    </w:tbl>
    <w:p w14:paraId="4A7D8CD4">
      <w:pPr>
        <w:spacing w:line="360" w:lineRule="auto"/>
        <w:ind w:right="420"/>
        <w:rPr>
          <w:rFonts w:ascii="宋体" w:hAnsi="宋体" w:eastAsia="宋体" w:cs="宋体"/>
          <w:color w:val="000000" w:themeColor="text1"/>
          <w:szCs w:val="21"/>
          <w:u w:color="000000"/>
          <w14:textFill>
            <w14:solidFill>
              <w14:schemeClr w14:val="tx1"/>
            </w14:solidFill>
          </w14:textFill>
        </w:rPr>
      </w:pPr>
    </w:p>
    <w:p w14:paraId="471F80DC">
      <w:pPr>
        <w:spacing w:line="360" w:lineRule="auto"/>
        <w:ind w:right="420"/>
        <w:rPr>
          <w:rFonts w:ascii="宋体" w:hAnsi="宋体" w:eastAsia="宋体" w:cs="宋体"/>
          <w:color w:val="000000" w:themeColor="text1"/>
          <w:szCs w:val="21"/>
          <w:u w:color="000000"/>
          <w14:textFill>
            <w14:solidFill>
              <w14:schemeClr w14:val="tx1"/>
            </w14:solidFill>
          </w14:textFill>
        </w:rPr>
      </w:pPr>
    </w:p>
    <w:p w14:paraId="57D26076">
      <w:pPr>
        <w:jc w:val="left"/>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br w:type="page"/>
      </w:r>
    </w:p>
    <w:p w14:paraId="134CC6B9">
      <w:pPr>
        <w:tabs>
          <w:tab w:val="left" w:pos="576"/>
        </w:tabs>
        <w:spacing w:before="156" w:beforeLines="50" w:after="156" w:afterLines="50" w:line="360" w:lineRule="auto"/>
        <w:outlineLvl w:val="2"/>
        <w:rPr>
          <w:rFonts w:ascii="Times New Roman" w:hAnsi="Times New Roman" w:eastAsia="黑体" w:cs="Times New Roman"/>
          <w:color w:val="000000" w:themeColor="text1"/>
          <w:sz w:val="24"/>
          <w:szCs w:val="24"/>
          <w:u w:color="000000"/>
          <w14:textFill>
            <w14:solidFill>
              <w14:schemeClr w14:val="tx1"/>
            </w14:solidFill>
          </w14:textFill>
        </w:rPr>
      </w:pPr>
      <w:bookmarkStart w:id="73" w:name="_Toc448069994"/>
      <w:bookmarkStart w:id="74" w:name="_Toc415494581"/>
      <w:bookmarkStart w:id="75" w:name="_Toc56"/>
      <w:bookmarkStart w:id="76" w:name="_Toc11859494"/>
      <w:r>
        <w:rPr>
          <w:rFonts w:ascii="Times New Roman" w:hAnsi="Times New Roman" w:eastAsia="黑体" w:cs="Times New Roman"/>
          <w:color w:val="000000" w:themeColor="text1"/>
          <w:sz w:val="24"/>
          <w:szCs w:val="24"/>
          <w:u w:color="000000"/>
          <w14:textFill>
            <w14:solidFill>
              <w14:schemeClr w14:val="tx1"/>
            </w14:solidFill>
          </w14:textFill>
        </w:rPr>
        <w:t>6.4 资格证明文件</w:t>
      </w:r>
      <w:bookmarkEnd w:id="73"/>
      <w:bookmarkEnd w:id="74"/>
      <w:bookmarkEnd w:id="75"/>
      <w:bookmarkEnd w:id="76"/>
    </w:p>
    <w:p w14:paraId="3AE40E64">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r>
        <w:rPr>
          <w:rFonts w:hint="eastAsia" w:ascii="Times New Roman" w:hAnsi="Times New Roman" w:eastAsia="宋体" w:cs="Times New Roman"/>
          <w:color w:val="000000" w:themeColor="text1"/>
          <w:sz w:val="24"/>
          <w:szCs w:val="24"/>
          <w:u w:color="FF0000"/>
          <w14:textFill>
            <w14:solidFill>
              <w14:schemeClr w14:val="tx1"/>
            </w14:solidFill>
          </w14:textFill>
        </w:rPr>
        <w:t>文件1 法人或者其他组织的营业执照等证明文件（复印件）</w:t>
      </w:r>
    </w:p>
    <w:p w14:paraId="07316791">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r>
        <w:rPr>
          <w:rFonts w:hint="eastAsia" w:ascii="Times New Roman" w:hAnsi="Times New Roman" w:eastAsia="宋体" w:cs="Times New Roman"/>
          <w:color w:val="000000" w:themeColor="text1"/>
          <w:sz w:val="24"/>
          <w:szCs w:val="24"/>
          <w:u w:color="FF0000"/>
          <w14:textFill>
            <w14:solidFill>
              <w14:schemeClr w14:val="tx1"/>
            </w14:solidFill>
          </w14:textFill>
        </w:rPr>
        <w:t>文件2 财务状况报告（复印件）</w:t>
      </w:r>
    </w:p>
    <w:p w14:paraId="4D69C581">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r>
        <w:rPr>
          <w:rFonts w:hint="eastAsia" w:ascii="Times New Roman" w:hAnsi="Times New Roman" w:eastAsia="宋体" w:cs="Times New Roman"/>
          <w:color w:val="000000" w:themeColor="text1"/>
          <w:sz w:val="24"/>
          <w:szCs w:val="24"/>
          <w:u w:color="FF0000"/>
          <w14:textFill>
            <w14:solidFill>
              <w14:schemeClr w14:val="tx1"/>
            </w14:solidFill>
          </w14:textFill>
        </w:rPr>
        <w:t>文件</w:t>
      </w:r>
      <w:r>
        <w:rPr>
          <w:rFonts w:ascii="Times New Roman" w:hAnsi="Times New Roman" w:eastAsia="宋体" w:cs="Times New Roman"/>
          <w:color w:val="000000" w:themeColor="text1"/>
          <w:sz w:val="24"/>
          <w:szCs w:val="24"/>
          <w:u w:color="FF0000"/>
          <w14:textFill>
            <w14:solidFill>
              <w14:schemeClr w14:val="tx1"/>
            </w14:solidFill>
          </w14:textFill>
        </w:rPr>
        <w:t xml:space="preserve">3 </w:t>
      </w:r>
      <w:r>
        <w:rPr>
          <w:rFonts w:hint="eastAsia" w:ascii="Times New Roman" w:hAnsi="Times New Roman" w:eastAsia="宋体" w:cs="Times New Roman"/>
          <w:color w:val="000000" w:themeColor="text1"/>
          <w:sz w:val="24"/>
          <w:szCs w:val="24"/>
          <w:u w:color="FF0000"/>
          <w14:textFill>
            <w14:solidFill>
              <w14:schemeClr w14:val="tx1"/>
            </w14:solidFill>
          </w14:textFill>
        </w:rPr>
        <w:t>依法缴纳税收和社会保障资金的相关材料（复印件）</w:t>
      </w:r>
    </w:p>
    <w:p w14:paraId="25DECCAE">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r>
        <w:rPr>
          <w:rFonts w:hint="eastAsia" w:ascii="Times New Roman" w:hAnsi="Times New Roman" w:eastAsia="宋体" w:cs="Times New Roman"/>
          <w:color w:val="000000" w:themeColor="text1"/>
          <w:sz w:val="24"/>
          <w:szCs w:val="24"/>
          <w:u w:color="FF0000"/>
          <w14:textFill>
            <w14:solidFill>
              <w14:schemeClr w14:val="tx1"/>
            </w14:solidFill>
          </w14:textFill>
        </w:rPr>
        <w:t>文件</w:t>
      </w:r>
      <w:r>
        <w:rPr>
          <w:rFonts w:ascii="Times New Roman" w:hAnsi="Times New Roman" w:eastAsia="宋体" w:cs="Times New Roman"/>
          <w:color w:val="000000" w:themeColor="text1"/>
          <w:sz w:val="24"/>
          <w:szCs w:val="24"/>
          <w:u w:color="FF0000"/>
          <w14:textFill>
            <w14:solidFill>
              <w14:schemeClr w14:val="tx1"/>
            </w14:solidFill>
          </w14:textFill>
        </w:rPr>
        <w:t>4</w:t>
      </w:r>
      <w:r>
        <w:rPr>
          <w:rFonts w:hint="eastAsia" w:ascii="Times New Roman" w:hAnsi="Times New Roman" w:eastAsia="宋体" w:cs="Times New Roman"/>
          <w:color w:val="000000" w:themeColor="text1"/>
          <w:sz w:val="24"/>
          <w:szCs w:val="24"/>
          <w:u w:color="FF0000"/>
          <w14:textFill>
            <w14:solidFill>
              <w14:schemeClr w14:val="tx1"/>
            </w14:solidFill>
          </w14:textFill>
        </w:rPr>
        <w:t xml:space="preserve"> 具备履行合同所必需的货物和专业技术能力的书面声明（原件）</w:t>
      </w:r>
    </w:p>
    <w:p w14:paraId="74C1C56D">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r>
        <w:rPr>
          <w:rFonts w:hint="eastAsia" w:ascii="Times New Roman" w:hAnsi="Times New Roman" w:eastAsia="宋体" w:cs="Times New Roman"/>
          <w:color w:val="000000" w:themeColor="text1"/>
          <w:sz w:val="24"/>
          <w:szCs w:val="24"/>
          <w:u w:color="FF0000"/>
          <w14:textFill>
            <w14:solidFill>
              <w14:schemeClr w14:val="tx1"/>
            </w14:solidFill>
          </w14:textFill>
        </w:rPr>
        <w:t>文件</w:t>
      </w:r>
      <w:r>
        <w:rPr>
          <w:rFonts w:ascii="Times New Roman" w:hAnsi="Times New Roman" w:eastAsia="宋体" w:cs="Times New Roman"/>
          <w:color w:val="000000" w:themeColor="text1"/>
          <w:sz w:val="24"/>
          <w:szCs w:val="24"/>
          <w:u w:color="FF0000"/>
          <w14:textFill>
            <w14:solidFill>
              <w14:schemeClr w14:val="tx1"/>
            </w14:solidFill>
          </w14:textFill>
        </w:rPr>
        <w:t xml:space="preserve">5 </w:t>
      </w:r>
      <w:r>
        <w:rPr>
          <w:rFonts w:hint="eastAsia" w:ascii="Times New Roman" w:hAnsi="Times New Roman" w:eastAsia="宋体" w:cs="Times New Roman"/>
          <w:color w:val="000000" w:themeColor="text1"/>
          <w:sz w:val="24"/>
          <w:szCs w:val="24"/>
          <w:u w:color="FF0000"/>
          <w14:textFill>
            <w14:solidFill>
              <w14:schemeClr w14:val="tx1"/>
            </w14:solidFill>
          </w14:textFill>
        </w:rPr>
        <w:t>无违法违规记录声明（原件）</w:t>
      </w:r>
    </w:p>
    <w:p w14:paraId="774A51DF">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r>
        <w:rPr>
          <w:rFonts w:hint="eastAsia" w:ascii="Times New Roman" w:hAnsi="Times New Roman" w:eastAsia="宋体" w:cs="Times New Roman"/>
          <w:color w:val="000000" w:themeColor="text1"/>
          <w:sz w:val="24"/>
          <w:szCs w:val="24"/>
          <w:u w:color="FF0000"/>
          <w14:textFill>
            <w14:solidFill>
              <w14:schemeClr w14:val="tx1"/>
            </w14:solidFill>
          </w14:textFill>
        </w:rPr>
        <w:t>文件</w:t>
      </w:r>
      <w:r>
        <w:rPr>
          <w:rFonts w:ascii="Times New Roman" w:hAnsi="Times New Roman" w:eastAsia="宋体" w:cs="Times New Roman"/>
          <w:color w:val="000000" w:themeColor="text1"/>
          <w:sz w:val="24"/>
          <w:szCs w:val="24"/>
          <w:u w:color="FF0000"/>
          <w14:textFill>
            <w14:solidFill>
              <w14:schemeClr w14:val="tx1"/>
            </w14:solidFill>
          </w14:textFill>
        </w:rPr>
        <w:t xml:space="preserve">6 </w:t>
      </w:r>
      <w:r>
        <w:rPr>
          <w:rFonts w:hint="eastAsia" w:ascii="Times New Roman" w:hAnsi="Times New Roman" w:eastAsia="宋体" w:cs="Times New Roman"/>
          <w:color w:val="000000" w:themeColor="text1"/>
          <w:sz w:val="24"/>
          <w:szCs w:val="24"/>
          <w:u w:color="FF0000"/>
          <w14:textFill>
            <w14:solidFill>
              <w14:schemeClr w14:val="tx1"/>
            </w14:solidFill>
          </w14:textFill>
        </w:rPr>
        <w:t>自招标公告发布之日至投标截止前的“信用中国”（www.creditchina.gov.cn）或“诚信江苏”（www.jscredit.gov.cn）或中国政府采购网（www.ccgp.gov.cn）查询的信用记录截图证明（加盖投标人</w:t>
      </w:r>
      <w:r>
        <w:rPr>
          <w:rFonts w:hint="eastAsia" w:ascii="Times New Roman" w:hAnsi="Times New Roman" w:eastAsia="宋体" w:cs="Times New Roman"/>
          <w:color w:val="000000" w:themeColor="text1"/>
          <w:sz w:val="24"/>
          <w:szCs w:val="24"/>
          <w:u w:color="FF0000"/>
          <w:lang w:eastAsia="zh-CN"/>
          <w14:textFill>
            <w14:solidFill>
              <w14:schemeClr w14:val="tx1"/>
            </w14:solidFill>
          </w14:textFill>
        </w:rPr>
        <w:t>CA公章</w:t>
      </w:r>
      <w:r>
        <w:rPr>
          <w:rFonts w:hint="eastAsia" w:ascii="Times New Roman" w:hAnsi="Times New Roman" w:eastAsia="宋体" w:cs="Times New Roman"/>
          <w:color w:val="000000" w:themeColor="text1"/>
          <w:sz w:val="24"/>
          <w:szCs w:val="24"/>
          <w:u w:color="FF0000"/>
          <w14:textFill>
            <w14:solidFill>
              <w14:schemeClr w14:val="tx1"/>
            </w14:solidFill>
          </w14:textFill>
        </w:rPr>
        <w:t>），证明未被列入失信被执行人、重大税收违法案件当事人名单、政府采购严重失信行为记录名单</w:t>
      </w:r>
    </w:p>
    <w:p w14:paraId="7A4ACE22">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r>
        <w:rPr>
          <w:rFonts w:hint="eastAsia" w:ascii="Times New Roman" w:hAnsi="Times New Roman" w:eastAsia="宋体" w:cs="Times New Roman"/>
          <w:color w:val="000000" w:themeColor="text1"/>
          <w:sz w:val="24"/>
          <w:szCs w:val="24"/>
          <w:u w:color="FF0000"/>
          <w14:textFill>
            <w14:solidFill>
              <w14:schemeClr w14:val="tx1"/>
            </w14:solidFill>
          </w14:textFill>
        </w:rPr>
        <w:t>文件7 诚信档案</w:t>
      </w:r>
    </w:p>
    <w:p w14:paraId="6E76F0A5">
      <w:pPr>
        <w:spacing w:line="360" w:lineRule="auto"/>
        <w:ind w:firstLine="480" w:firstLineChars="200"/>
        <w:rPr>
          <w:rFonts w:hint="eastAsia" w:ascii="Times New Roman" w:hAnsi="Times New Roman" w:eastAsia="宋体" w:cs="Times New Roman"/>
          <w:color w:val="000000" w:themeColor="text1"/>
          <w:sz w:val="24"/>
          <w:szCs w:val="24"/>
          <w:u w:color="FF0000"/>
          <w14:textFill>
            <w14:solidFill>
              <w14:schemeClr w14:val="tx1"/>
            </w14:solidFill>
          </w14:textFill>
        </w:rPr>
      </w:pPr>
      <w:r>
        <w:rPr>
          <w:rFonts w:hint="eastAsia" w:ascii="Times New Roman" w:hAnsi="Times New Roman" w:eastAsia="宋体" w:cs="Times New Roman"/>
          <w:color w:val="000000" w:themeColor="text1"/>
          <w:sz w:val="24"/>
          <w:szCs w:val="24"/>
          <w:u w:color="FF0000"/>
          <w14:textFill>
            <w14:solidFill>
              <w14:schemeClr w14:val="tx1"/>
            </w14:solidFill>
          </w14:textFill>
        </w:rPr>
        <w:t xml:space="preserve">文件8 </w:t>
      </w:r>
      <w:r>
        <w:rPr>
          <w:rFonts w:hint="eastAsia" w:ascii="Times New Roman" w:hAnsi="Times New Roman" w:eastAsia="宋体" w:cs="Times New Roman"/>
          <w:color w:val="000000" w:themeColor="text1"/>
          <w:sz w:val="24"/>
          <w:szCs w:val="24"/>
          <w:u w:color="FF0000"/>
          <w:lang w:val="en-US" w:eastAsia="zh-CN"/>
          <w14:textFill>
            <w14:solidFill>
              <w14:schemeClr w14:val="tx1"/>
            </w14:solidFill>
          </w14:textFill>
        </w:rPr>
        <w:t>非</w:t>
      </w:r>
      <w:r>
        <w:rPr>
          <w:rFonts w:hint="eastAsia" w:ascii="Times New Roman" w:hAnsi="Times New Roman" w:eastAsia="宋体" w:cs="Times New Roman"/>
          <w:color w:val="000000" w:themeColor="text1"/>
          <w:sz w:val="24"/>
          <w:szCs w:val="24"/>
          <w:u w:color="FF0000"/>
          <w14:textFill>
            <w14:solidFill>
              <w14:schemeClr w14:val="tx1"/>
            </w14:solidFill>
          </w14:textFill>
        </w:rPr>
        <w:t>联合体投标声明</w:t>
      </w:r>
    </w:p>
    <w:p w14:paraId="659BEEAE">
      <w:pPr>
        <w:spacing w:line="360" w:lineRule="auto"/>
        <w:ind w:firstLine="480" w:firstLineChars="200"/>
        <w:rPr>
          <w:rFonts w:hint="default" w:ascii="Times New Roman" w:hAnsi="Times New Roman" w:eastAsia="宋体" w:cs="Times New Roman"/>
          <w:color w:val="000000" w:themeColor="text1"/>
          <w:sz w:val="24"/>
          <w:szCs w:val="24"/>
          <w:u w:color="FF0000"/>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u w:color="FF0000"/>
          <w:lang w:val="en-US" w:eastAsia="zh-CN"/>
          <w14:textFill>
            <w14:solidFill>
              <w14:schemeClr w14:val="tx1"/>
            </w14:solidFill>
          </w14:textFill>
        </w:rPr>
        <w:t>文件9 非进口产品投标声明</w:t>
      </w:r>
    </w:p>
    <w:p w14:paraId="76BD5294">
      <w:pPr>
        <w:spacing w:line="360" w:lineRule="auto"/>
        <w:ind w:firstLine="420" w:firstLineChars="200"/>
        <w:rPr>
          <w:rFonts w:ascii="Times New Roman" w:hAnsi="Times New Roman" w:eastAsia="宋体" w:cs="Times New Roman"/>
          <w:color w:val="000000" w:themeColor="text1"/>
          <w:szCs w:val="21"/>
          <w:u w:color="FF0000"/>
          <w14:textFill>
            <w14:solidFill>
              <w14:schemeClr w14:val="tx1"/>
            </w14:solidFill>
          </w14:textFill>
        </w:rPr>
      </w:pPr>
    </w:p>
    <w:p w14:paraId="4D67F09C">
      <w:pPr>
        <w:spacing w:line="360" w:lineRule="auto"/>
        <w:ind w:firstLine="420" w:firstLineChars="200"/>
        <w:rPr>
          <w:rFonts w:ascii="Times New Roman" w:hAnsi="Times New Roman" w:eastAsia="宋体" w:cs="Times New Roman"/>
          <w:color w:val="000000" w:themeColor="text1"/>
          <w:szCs w:val="21"/>
          <w:u w:color="FF0000"/>
          <w14:textFill>
            <w14:solidFill>
              <w14:schemeClr w14:val="tx1"/>
            </w14:solidFill>
          </w14:textFill>
        </w:rPr>
      </w:pPr>
    </w:p>
    <w:p w14:paraId="12491CC2">
      <w:pPr>
        <w:jc w:val="left"/>
        <w:rPr>
          <w:rFonts w:ascii="Times New Roman" w:hAnsi="Times New Roman" w:eastAsia="宋体" w:cs="Times New Roman"/>
          <w:color w:val="000000" w:themeColor="text1"/>
          <w:szCs w:val="21"/>
          <w:u w:color="FF0000"/>
          <w14:textFill>
            <w14:solidFill>
              <w14:schemeClr w14:val="tx1"/>
            </w14:solidFill>
          </w14:textFill>
        </w:rPr>
      </w:pPr>
      <w:r>
        <w:rPr>
          <w:rFonts w:ascii="Times New Roman" w:hAnsi="Times New Roman" w:eastAsia="宋体" w:cs="Times New Roman"/>
          <w:color w:val="000000" w:themeColor="text1"/>
          <w:szCs w:val="21"/>
          <w:u w:color="FF0000"/>
          <w14:textFill>
            <w14:solidFill>
              <w14:schemeClr w14:val="tx1"/>
            </w14:solidFill>
          </w14:textFill>
        </w:rPr>
        <w:br w:type="page"/>
      </w:r>
    </w:p>
    <w:p w14:paraId="73AB64ED">
      <w:pPr>
        <w:spacing w:before="156" w:beforeLines="50" w:after="156" w:afterLines="50" w:line="360" w:lineRule="auto"/>
        <w:jc w:val="center"/>
        <w:rPr>
          <w:rFonts w:ascii="黑体" w:hAnsi="黑体" w:eastAsia="黑体" w:cs="Times New Roman"/>
          <w:color w:val="000000" w:themeColor="text1"/>
          <w:sz w:val="28"/>
          <w:szCs w:val="21"/>
          <w:u w:color="FF0000"/>
          <w14:textFill>
            <w14:solidFill>
              <w14:schemeClr w14:val="tx1"/>
            </w14:solidFill>
          </w14:textFill>
        </w:rPr>
      </w:pPr>
      <w:r>
        <w:rPr>
          <w:rFonts w:hint="eastAsia" w:ascii="黑体" w:hAnsi="黑体" w:eastAsia="黑体" w:cs="Times New Roman"/>
          <w:color w:val="000000" w:themeColor="text1"/>
          <w:sz w:val="28"/>
          <w:szCs w:val="21"/>
          <w:u w:color="FF0000"/>
          <w14:textFill>
            <w14:solidFill>
              <w14:schemeClr w14:val="tx1"/>
            </w14:solidFill>
          </w14:textFill>
        </w:rPr>
        <w:t>具备履行合同所必需的货物和专业技术能力的书面声明</w:t>
      </w:r>
    </w:p>
    <w:p w14:paraId="4B3E2A47">
      <w:pPr>
        <w:spacing w:line="460" w:lineRule="exact"/>
        <w:ind w:firstLine="492"/>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我公司郑重声明：我公司具备履行本项采购合同所必需的</w:t>
      </w:r>
      <w:r>
        <w:rPr>
          <w:rFonts w:hint="eastAsia" w:ascii="Times New Roman" w:hAnsi="Times New Roman" w:cs="Times New Roman"/>
          <w:bCs/>
          <w:color w:val="000000" w:themeColor="text1"/>
          <w:sz w:val="24"/>
          <w:szCs w:val="24"/>
          <w14:textFill>
            <w14:solidFill>
              <w14:schemeClr w14:val="tx1"/>
            </w14:solidFill>
          </w14:textFill>
        </w:rPr>
        <w:t>货物</w:t>
      </w:r>
      <w:r>
        <w:rPr>
          <w:rFonts w:ascii="Times New Roman" w:hAnsi="Times New Roman" w:cs="Times New Roman"/>
          <w:bCs/>
          <w:color w:val="000000" w:themeColor="text1"/>
          <w:sz w:val="24"/>
          <w:szCs w:val="24"/>
          <w14:textFill>
            <w14:solidFill>
              <w14:schemeClr w14:val="tx1"/>
            </w14:solidFill>
          </w14:textFill>
        </w:rPr>
        <w:t>和专业技术能力，为履行本项采购合同我公司具备如下主要</w:t>
      </w:r>
      <w:r>
        <w:rPr>
          <w:rFonts w:hint="eastAsia" w:ascii="Times New Roman" w:hAnsi="Times New Roman" w:cs="Times New Roman"/>
          <w:bCs/>
          <w:color w:val="000000" w:themeColor="text1"/>
          <w:sz w:val="24"/>
          <w:szCs w:val="24"/>
          <w14:textFill>
            <w14:solidFill>
              <w14:schemeClr w14:val="tx1"/>
            </w14:solidFill>
          </w14:textFill>
        </w:rPr>
        <w:t>货物</w:t>
      </w:r>
      <w:r>
        <w:rPr>
          <w:rFonts w:ascii="Times New Roman" w:hAnsi="Times New Roman" w:cs="Times New Roman"/>
          <w:bCs/>
          <w:color w:val="000000" w:themeColor="text1"/>
          <w:sz w:val="24"/>
          <w:szCs w:val="24"/>
          <w14:textFill>
            <w14:solidFill>
              <w14:schemeClr w14:val="tx1"/>
            </w14:solidFill>
          </w14:textFill>
        </w:rPr>
        <w:t>和主要专业技术能力：</w:t>
      </w:r>
    </w:p>
    <w:p w14:paraId="3164DDE7">
      <w:pPr>
        <w:spacing w:line="460" w:lineRule="exact"/>
        <w:ind w:firstLine="492"/>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主要</w:t>
      </w:r>
      <w:r>
        <w:rPr>
          <w:rFonts w:hint="eastAsia" w:ascii="Times New Roman" w:hAnsi="Times New Roman" w:cs="Times New Roman"/>
          <w:bCs/>
          <w:color w:val="000000" w:themeColor="text1"/>
          <w:sz w:val="24"/>
          <w:szCs w:val="24"/>
          <w14:textFill>
            <w14:solidFill>
              <w14:schemeClr w14:val="tx1"/>
            </w14:solidFill>
          </w14:textFill>
        </w:rPr>
        <w:t>货物</w:t>
      </w:r>
      <w:r>
        <w:rPr>
          <w:rFonts w:ascii="Times New Roman" w:hAnsi="Times New Roman" w:cs="Times New Roman"/>
          <w:bCs/>
          <w:color w:val="000000" w:themeColor="text1"/>
          <w:sz w:val="24"/>
          <w:szCs w:val="24"/>
          <w14:textFill>
            <w14:solidFill>
              <w14:schemeClr w14:val="tx1"/>
            </w14:solidFill>
          </w14:textFill>
        </w:rPr>
        <w:t>有：  。</w:t>
      </w:r>
    </w:p>
    <w:p w14:paraId="1F0DE009">
      <w:pPr>
        <w:spacing w:line="460" w:lineRule="exact"/>
        <w:ind w:firstLine="492"/>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主要专业技术能力有：   。</w:t>
      </w:r>
    </w:p>
    <w:p w14:paraId="752F6CCA">
      <w:pPr>
        <w:spacing w:line="460" w:lineRule="exact"/>
        <w:ind w:firstLine="492"/>
        <w:rPr>
          <w:rFonts w:ascii="Times New Roman" w:hAnsi="Times New Roman" w:cs="Times New Roman"/>
          <w:bCs/>
          <w:color w:val="000000" w:themeColor="text1"/>
          <w:sz w:val="24"/>
          <w:szCs w:val="24"/>
          <w14:textFill>
            <w14:solidFill>
              <w14:schemeClr w14:val="tx1"/>
            </w14:solidFill>
          </w14:textFill>
        </w:rPr>
      </w:pPr>
    </w:p>
    <w:p w14:paraId="763FB33E">
      <w:pPr>
        <w:adjustRightInd w:val="0"/>
        <w:snapToGrid w:val="0"/>
        <w:spacing w:line="420" w:lineRule="exact"/>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声明人：</w:t>
      </w:r>
      <w:r>
        <w:rPr>
          <w:rFonts w:hint="eastAsia" w:ascii="Times New Roman" w:hAnsi="Times New Roman" w:cs="Times New Roman"/>
          <w:color w:val="000000" w:themeColor="text1"/>
          <w:sz w:val="24"/>
          <w:szCs w:val="24"/>
          <w:u w:val="single"/>
          <w14:textFill>
            <w14:solidFill>
              <w14:schemeClr w14:val="tx1"/>
            </w14:solidFill>
          </w14:textFill>
        </w:rPr>
        <w:t xml:space="preserve">                     </w:t>
      </w:r>
      <w:r>
        <w:rPr>
          <w:rFonts w:ascii="Times New Roman" w:hAnsi="Times New Roman" w:cs="Times New Roman"/>
          <w:color w:val="000000" w:themeColor="text1"/>
          <w:sz w:val="24"/>
          <w:szCs w:val="24"/>
          <w:u w:val="single"/>
          <w14:textFill>
            <w14:solidFill>
              <w14:schemeClr w14:val="tx1"/>
            </w14:solidFill>
          </w14:textFill>
        </w:rPr>
        <w:t xml:space="preserve">  </w:t>
      </w:r>
      <w:r>
        <w:rPr>
          <w:rFonts w:hint="eastAsia" w:ascii="Times New Roman" w:hAnsi="Times New Roman" w:cs="Times New Roman"/>
          <w:color w:val="000000" w:themeColor="text1"/>
          <w:sz w:val="24"/>
          <w:szCs w:val="24"/>
          <w:u w:val="single"/>
          <w14:textFill>
            <w14:solidFill>
              <w14:schemeClr w14:val="tx1"/>
            </w14:solidFill>
          </w14:textFill>
        </w:rPr>
        <w:t xml:space="preserve">     </w:t>
      </w:r>
    </w:p>
    <w:p w14:paraId="60AE8222">
      <w:pPr>
        <w:adjustRightInd w:val="0"/>
        <w:snapToGrid w:val="0"/>
        <w:spacing w:line="420" w:lineRule="exact"/>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法定代表人</w:t>
      </w:r>
      <w:r>
        <w:rPr>
          <w:rFonts w:ascii="Times New Roman" w:hAnsi="Times New Roman" w:cs="Times New Roman"/>
          <w:bCs/>
          <w:color w:val="000000" w:themeColor="text1"/>
          <w:sz w:val="24"/>
          <w:szCs w:val="24"/>
          <w14:textFill>
            <w14:solidFill>
              <w14:schemeClr w14:val="tx1"/>
            </w14:solidFill>
          </w14:textFill>
        </w:rPr>
        <w:t>（被授权人）</w:t>
      </w:r>
      <w:r>
        <w:rPr>
          <w:rFonts w:ascii="Times New Roman" w:hAnsi="Times New Roman" w:cs="Times New Roman"/>
          <w:color w:val="000000" w:themeColor="text1"/>
          <w:sz w:val="24"/>
          <w:szCs w:val="24"/>
          <w14:textFill>
            <w14:solidFill>
              <w14:schemeClr w14:val="tx1"/>
            </w14:solidFill>
          </w14:textFill>
        </w:rPr>
        <w:t>签字：</w:t>
      </w:r>
      <w:r>
        <w:rPr>
          <w:rFonts w:ascii="Times New Roman" w:hAnsi="Times New Roman" w:cs="Times New Roman"/>
          <w:color w:val="000000" w:themeColor="text1"/>
          <w:sz w:val="24"/>
          <w:szCs w:val="24"/>
          <w:u w:val="single"/>
          <w14:textFill>
            <w14:solidFill>
              <w14:schemeClr w14:val="tx1"/>
            </w14:solidFill>
          </w14:textFill>
        </w:rPr>
        <w:t xml:space="preserve">             </w:t>
      </w:r>
    </w:p>
    <w:p w14:paraId="4A773D44">
      <w:pPr>
        <w:spacing w:line="460" w:lineRule="exact"/>
        <w:ind w:firstLine="3960" w:firstLineChars="165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日期：</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年</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月</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日</w:t>
      </w:r>
    </w:p>
    <w:p w14:paraId="3BC988D9">
      <w:pPr>
        <w:spacing w:line="460" w:lineRule="exact"/>
        <w:rPr>
          <w:rFonts w:ascii="Times New Roman" w:hAnsi="Times New Roman" w:cs="Times New Roman"/>
          <w:bCs/>
          <w:color w:val="000000" w:themeColor="text1"/>
          <w:sz w:val="24"/>
          <w:szCs w:val="24"/>
          <w14:textFill>
            <w14:solidFill>
              <w14:schemeClr w14:val="tx1"/>
            </w14:solidFill>
          </w14:textFill>
        </w:rPr>
      </w:pPr>
    </w:p>
    <w:p w14:paraId="7372DAAB">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p>
    <w:p w14:paraId="2CD357B4">
      <w:pPr>
        <w:spacing w:line="360" w:lineRule="auto"/>
        <w:ind w:firstLine="420" w:firstLineChars="200"/>
        <w:rPr>
          <w:rFonts w:ascii="Times New Roman" w:hAnsi="Times New Roman" w:eastAsia="宋体" w:cs="Times New Roman"/>
          <w:color w:val="000000" w:themeColor="text1"/>
          <w:szCs w:val="21"/>
          <w:u w:color="FF0000"/>
          <w14:textFill>
            <w14:solidFill>
              <w14:schemeClr w14:val="tx1"/>
            </w14:solidFill>
          </w14:textFill>
        </w:rPr>
      </w:pPr>
    </w:p>
    <w:p w14:paraId="4B539005">
      <w:pPr>
        <w:jc w:val="left"/>
        <w:rPr>
          <w:rFonts w:ascii="Times New Roman" w:hAnsi="Times New Roman" w:eastAsia="宋体" w:cs="Times New Roman"/>
          <w:color w:val="000000" w:themeColor="text1"/>
          <w:szCs w:val="21"/>
          <w:u w:color="FF0000"/>
          <w14:textFill>
            <w14:solidFill>
              <w14:schemeClr w14:val="tx1"/>
            </w14:solidFill>
          </w14:textFill>
        </w:rPr>
      </w:pPr>
      <w:r>
        <w:rPr>
          <w:rFonts w:ascii="Times New Roman" w:hAnsi="Times New Roman" w:eastAsia="宋体" w:cs="Times New Roman"/>
          <w:color w:val="000000" w:themeColor="text1"/>
          <w:szCs w:val="21"/>
          <w:u w:color="FF0000"/>
          <w14:textFill>
            <w14:solidFill>
              <w14:schemeClr w14:val="tx1"/>
            </w14:solidFill>
          </w14:textFill>
        </w:rPr>
        <w:br w:type="page"/>
      </w:r>
    </w:p>
    <w:p w14:paraId="2756DE3F">
      <w:pPr>
        <w:adjustRightInd w:val="0"/>
        <w:snapToGrid w:val="0"/>
        <w:spacing w:before="156" w:beforeLines="50" w:after="156" w:afterLines="50" w:line="360" w:lineRule="auto"/>
        <w:jc w:val="center"/>
        <w:rPr>
          <w:rFonts w:ascii="黑体" w:hAnsi="黑体" w:eastAsia="黑体" w:cs="Times New Roman"/>
          <w:color w:val="000000" w:themeColor="text1"/>
          <w:sz w:val="28"/>
          <w:szCs w:val="28"/>
          <w14:textFill>
            <w14:solidFill>
              <w14:schemeClr w14:val="tx1"/>
            </w14:solidFill>
          </w14:textFill>
        </w:rPr>
      </w:pPr>
      <w:r>
        <w:rPr>
          <w:rFonts w:ascii="黑体" w:hAnsi="黑体" w:eastAsia="黑体" w:cs="Times New Roman"/>
          <w:color w:val="000000" w:themeColor="text1"/>
          <w:sz w:val="28"/>
          <w:szCs w:val="28"/>
          <w14:textFill>
            <w14:solidFill>
              <w14:schemeClr w14:val="tx1"/>
            </w14:solidFill>
          </w14:textFill>
        </w:rPr>
        <w:t>无违法违规记录声明</w:t>
      </w:r>
    </w:p>
    <w:p w14:paraId="6B492881">
      <w:pPr>
        <w:adjustRightInd w:val="0"/>
        <w:snapToGrid w:val="0"/>
        <w:spacing w:line="420" w:lineRule="exact"/>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本单位在经营活动中没有违法违规记录，近三年内没有被司法部门或行业主管部门处罚，无被政府职能部门认定有行贿和欺诈行为。</w:t>
      </w:r>
    </w:p>
    <w:p w14:paraId="71BF1227">
      <w:pPr>
        <w:adjustRightInd w:val="0"/>
        <w:snapToGrid w:val="0"/>
        <w:spacing w:line="420" w:lineRule="exact"/>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特此声明</w:t>
      </w:r>
      <w:r>
        <w:rPr>
          <w:rFonts w:hint="eastAsia" w:ascii="Times New Roman" w:hAnsi="Times New Roman" w:cs="Times New Roman"/>
          <w:color w:val="000000" w:themeColor="text1"/>
          <w:sz w:val="24"/>
          <w:szCs w:val="24"/>
          <w14:textFill>
            <w14:solidFill>
              <w14:schemeClr w14:val="tx1"/>
            </w14:solidFill>
          </w14:textFill>
        </w:rPr>
        <w:t>。</w:t>
      </w:r>
    </w:p>
    <w:p w14:paraId="02039976">
      <w:pPr>
        <w:adjustRightInd w:val="0"/>
        <w:snapToGrid w:val="0"/>
        <w:spacing w:line="420" w:lineRule="exact"/>
        <w:ind w:firstLine="480" w:firstLineChars="200"/>
        <w:rPr>
          <w:rFonts w:ascii="Times New Roman" w:hAnsi="Times New Roman" w:cs="Times New Roman"/>
          <w:color w:val="000000" w:themeColor="text1"/>
          <w:sz w:val="24"/>
          <w:szCs w:val="24"/>
          <w14:textFill>
            <w14:solidFill>
              <w14:schemeClr w14:val="tx1"/>
            </w14:solidFill>
          </w14:textFill>
        </w:rPr>
      </w:pPr>
    </w:p>
    <w:p w14:paraId="04DC62C8">
      <w:pPr>
        <w:adjustRightInd w:val="0"/>
        <w:snapToGrid w:val="0"/>
        <w:spacing w:line="420" w:lineRule="exact"/>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声明人：</w:t>
      </w:r>
      <w:r>
        <w:rPr>
          <w:rFonts w:hint="eastAsia" w:ascii="Times New Roman" w:hAnsi="Times New Roman" w:cs="Times New Roman"/>
          <w:color w:val="000000" w:themeColor="text1"/>
          <w:sz w:val="24"/>
          <w:szCs w:val="24"/>
          <w:u w:val="single"/>
          <w14:textFill>
            <w14:solidFill>
              <w14:schemeClr w14:val="tx1"/>
            </w14:solidFill>
          </w14:textFill>
        </w:rPr>
        <w:t xml:space="preserve">                     </w:t>
      </w:r>
      <w:r>
        <w:rPr>
          <w:rFonts w:ascii="Times New Roman" w:hAnsi="Times New Roman" w:cs="Times New Roman"/>
          <w:color w:val="000000" w:themeColor="text1"/>
          <w:sz w:val="24"/>
          <w:szCs w:val="24"/>
          <w:u w:val="single"/>
          <w14:textFill>
            <w14:solidFill>
              <w14:schemeClr w14:val="tx1"/>
            </w14:solidFill>
          </w14:textFill>
        </w:rPr>
        <w:t xml:space="preserve">  </w:t>
      </w:r>
      <w:r>
        <w:rPr>
          <w:rFonts w:hint="eastAsia" w:ascii="Times New Roman" w:hAnsi="Times New Roman" w:cs="Times New Roman"/>
          <w:color w:val="000000" w:themeColor="text1"/>
          <w:sz w:val="24"/>
          <w:szCs w:val="24"/>
          <w:u w:val="single"/>
          <w14:textFill>
            <w14:solidFill>
              <w14:schemeClr w14:val="tx1"/>
            </w14:solidFill>
          </w14:textFill>
        </w:rPr>
        <w:t xml:space="preserve">     </w:t>
      </w:r>
    </w:p>
    <w:p w14:paraId="5612B456">
      <w:pPr>
        <w:adjustRightInd w:val="0"/>
        <w:snapToGrid w:val="0"/>
        <w:spacing w:line="420" w:lineRule="exact"/>
        <w:ind w:firstLine="480" w:firstLineChars="20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法定代表人</w:t>
      </w:r>
      <w:r>
        <w:rPr>
          <w:rFonts w:ascii="Times New Roman" w:hAnsi="Times New Roman" w:cs="Times New Roman"/>
          <w:bCs/>
          <w:color w:val="000000" w:themeColor="text1"/>
          <w:sz w:val="24"/>
          <w:szCs w:val="24"/>
          <w14:textFill>
            <w14:solidFill>
              <w14:schemeClr w14:val="tx1"/>
            </w14:solidFill>
          </w14:textFill>
        </w:rPr>
        <w:t>（被授权人）</w:t>
      </w:r>
      <w:r>
        <w:rPr>
          <w:rFonts w:ascii="Times New Roman" w:hAnsi="Times New Roman" w:cs="Times New Roman"/>
          <w:color w:val="000000" w:themeColor="text1"/>
          <w:sz w:val="24"/>
          <w:szCs w:val="24"/>
          <w14:textFill>
            <w14:solidFill>
              <w14:schemeClr w14:val="tx1"/>
            </w14:solidFill>
          </w14:textFill>
        </w:rPr>
        <w:t>签字：</w:t>
      </w:r>
      <w:r>
        <w:rPr>
          <w:rFonts w:ascii="Times New Roman" w:hAnsi="Times New Roman" w:cs="Times New Roman"/>
          <w:color w:val="000000" w:themeColor="text1"/>
          <w:sz w:val="24"/>
          <w:szCs w:val="24"/>
          <w:u w:val="single"/>
          <w14:textFill>
            <w14:solidFill>
              <w14:schemeClr w14:val="tx1"/>
            </w14:solidFill>
          </w14:textFill>
        </w:rPr>
        <w:t xml:space="preserve">             </w:t>
      </w:r>
    </w:p>
    <w:p w14:paraId="1E459E1E">
      <w:pPr>
        <w:spacing w:line="460" w:lineRule="exact"/>
        <w:ind w:firstLine="3960" w:firstLineChars="165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日期：</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年</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月</w:t>
      </w:r>
      <w:r>
        <w:rPr>
          <w:rFonts w:ascii="Times New Roman" w:hAnsi="Times New Roman" w:cs="Times New Roman"/>
          <w:bCs/>
          <w:color w:val="000000" w:themeColor="text1"/>
          <w:sz w:val="24"/>
          <w:szCs w:val="24"/>
          <w:u w:val="single"/>
          <w14:textFill>
            <w14:solidFill>
              <w14:schemeClr w14:val="tx1"/>
            </w14:solidFill>
          </w14:textFill>
        </w:rPr>
        <w:t xml:space="preserve">    </w:t>
      </w:r>
      <w:r>
        <w:rPr>
          <w:rFonts w:ascii="Times New Roman" w:hAnsi="Times New Roman" w:cs="Times New Roman"/>
          <w:bCs/>
          <w:color w:val="000000" w:themeColor="text1"/>
          <w:sz w:val="24"/>
          <w:szCs w:val="24"/>
          <w14:textFill>
            <w14:solidFill>
              <w14:schemeClr w14:val="tx1"/>
            </w14:solidFill>
          </w14:textFill>
        </w:rPr>
        <w:t>日</w:t>
      </w:r>
    </w:p>
    <w:p w14:paraId="57A306A8">
      <w:pPr>
        <w:spacing w:line="360" w:lineRule="auto"/>
        <w:ind w:firstLine="420" w:firstLineChars="200"/>
        <w:rPr>
          <w:rFonts w:ascii="Times New Roman" w:hAnsi="Times New Roman" w:eastAsia="宋体" w:cs="Times New Roman"/>
          <w:color w:val="000000" w:themeColor="text1"/>
          <w:szCs w:val="21"/>
          <w:u w:color="FF0000"/>
          <w14:textFill>
            <w14:solidFill>
              <w14:schemeClr w14:val="tx1"/>
            </w14:solidFill>
          </w14:textFill>
        </w:rPr>
      </w:pPr>
    </w:p>
    <w:p w14:paraId="2B7B2C56">
      <w:pPr>
        <w:spacing w:line="360" w:lineRule="auto"/>
        <w:ind w:firstLine="420" w:firstLineChars="200"/>
        <w:rPr>
          <w:rFonts w:ascii="Times New Roman" w:hAnsi="Times New Roman" w:eastAsia="宋体" w:cs="Times New Roman"/>
          <w:color w:val="000000" w:themeColor="text1"/>
          <w:szCs w:val="21"/>
          <w:u w:color="FF0000"/>
          <w14:textFill>
            <w14:solidFill>
              <w14:schemeClr w14:val="tx1"/>
            </w14:solidFill>
          </w14:textFill>
        </w:rPr>
      </w:pPr>
    </w:p>
    <w:p w14:paraId="725D5E01">
      <w:pPr>
        <w:jc w:val="left"/>
        <w:rPr>
          <w:rFonts w:ascii="Times New Roman" w:hAnsi="Times New Roman" w:eastAsia="宋体" w:cs="Times New Roman"/>
          <w:color w:val="000000" w:themeColor="text1"/>
          <w:szCs w:val="21"/>
          <w:u w:color="FF0000"/>
          <w14:textFill>
            <w14:solidFill>
              <w14:schemeClr w14:val="tx1"/>
            </w14:solidFill>
          </w14:textFill>
        </w:rPr>
      </w:pPr>
      <w:r>
        <w:rPr>
          <w:rFonts w:ascii="Times New Roman" w:hAnsi="Times New Roman" w:eastAsia="黑体" w:cs="Times New Roman"/>
          <w:color w:val="000000" w:themeColor="text1"/>
          <w:sz w:val="24"/>
          <w:szCs w:val="24"/>
          <w:u w:color="000000"/>
          <w14:textFill>
            <w14:solidFill>
              <w14:schemeClr w14:val="tx1"/>
            </w14:solidFill>
          </w14:textFill>
        </w:rPr>
        <w:br w:type="page"/>
      </w:r>
    </w:p>
    <w:p w14:paraId="0F3CC521">
      <w:pPr>
        <w:tabs>
          <w:tab w:val="left" w:pos="576"/>
        </w:tabs>
        <w:spacing w:before="156" w:beforeLines="50" w:after="156" w:afterLines="50" w:line="360" w:lineRule="auto"/>
        <w:outlineLvl w:val="2"/>
        <w:rPr>
          <w:rFonts w:ascii="Times New Roman" w:hAnsi="Times New Roman" w:eastAsia="黑体" w:cs="Times New Roman"/>
          <w:color w:val="000000" w:themeColor="text1"/>
          <w:sz w:val="24"/>
          <w:szCs w:val="24"/>
          <w:u w:color="000000"/>
          <w14:textFill>
            <w14:solidFill>
              <w14:schemeClr w14:val="tx1"/>
            </w14:solidFill>
          </w14:textFill>
        </w:rPr>
      </w:pPr>
      <w:bookmarkStart w:id="77" w:name="_Toc11859495"/>
      <w:r>
        <w:rPr>
          <w:rFonts w:ascii="Times New Roman" w:hAnsi="Times New Roman" w:eastAsia="黑体" w:cs="Times New Roman"/>
          <w:color w:val="000000" w:themeColor="text1"/>
          <w:sz w:val="24"/>
          <w:szCs w:val="24"/>
          <w:u w:color="000000"/>
          <w14:textFill>
            <w14:solidFill>
              <w14:schemeClr w14:val="tx1"/>
            </w14:solidFill>
          </w14:textFill>
        </w:rPr>
        <w:t xml:space="preserve">6.5 </w:t>
      </w:r>
      <w:r>
        <w:rPr>
          <w:rFonts w:hint="eastAsia" w:ascii="Times New Roman" w:hAnsi="Times New Roman" w:eastAsia="黑体" w:cs="Times New Roman"/>
          <w:color w:val="000000" w:themeColor="text1"/>
          <w:sz w:val="24"/>
          <w:szCs w:val="24"/>
          <w:u w:color="000000"/>
          <w14:textFill>
            <w14:solidFill>
              <w14:schemeClr w14:val="tx1"/>
            </w14:solidFill>
          </w14:textFill>
        </w:rPr>
        <w:t>商务条款响应及偏离表</w:t>
      </w:r>
      <w:bookmarkEnd w:id="77"/>
    </w:p>
    <w:p w14:paraId="1E1F1228">
      <w:pPr>
        <w:spacing w:before="156" w:beforeLines="50" w:after="156" w:afterLines="50" w:line="360" w:lineRule="auto"/>
        <w:jc w:val="center"/>
        <w:rPr>
          <w:rFonts w:ascii="黑体" w:hAnsi="黑体" w:eastAsia="黑体" w:cs="Times New Roman"/>
          <w:bCs/>
          <w:color w:val="000000" w:themeColor="text1"/>
          <w:sz w:val="28"/>
          <w:szCs w:val="28"/>
          <w:u w:color="000000"/>
          <w:lang w:val="zh-TW"/>
          <w14:textFill>
            <w14:solidFill>
              <w14:schemeClr w14:val="tx1"/>
            </w14:solidFill>
          </w14:textFill>
        </w:rPr>
      </w:pPr>
      <w:r>
        <w:rPr>
          <w:rFonts w:hint="eastAsia" w:ascii="黑体" w:hAnsi="黑体" w:eastAsia="黑体" w:cs="Times New Roman"/>
          <w:bCs/>
          <w:color w:val="000000" w:themeColor="text1"/>
          <w:sz w:val="28"/>
          <w:szCs w:val="28"/>
          <w:u w:color="000000"/>
          <w:lang w:val="zh-TW"/>
          <w14:textFill>
            <w14:solidFill>
              <w14:schemeClr w14:val="tx1"/>
            </w14:solidFill>
          </w14:textFill>
        </w:rPr>
        <w:t>商务条款响应及偏离表</w:t>
      </w:r>
    </w:p>
    <w:p w14:paraId="07C6D146">
      <w:pPr>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投标人全称</w:t>
      </w:r>
      <w:r>
        <w:rPr>
          <w:rFonts w:hint="eastAsia" w:ascii="Times New Roman" w:hAnsi="Times New Roman" w:cs="Times New Roman"/>
          <w:color w:val="000000" w:themeColor="text1"/>
          <w:sz w:val="24"/>
          <w:szCs w:val="24"/>
          <w14:textFill>
            <w14:solidFill>
              <w14:schemeClr w14:val="tx1"/>
            </w14:solidFill>
          </w14:textFill>
        </w:rPr>
        <w:t>（投标人</w:t>
      </w:r>
      <w:r>
        <w:rPr>
          <w:rFonts w:hint="eastAsia" w:ascii="Times New Roman" w:hAnsi="Times New Roman" w:cs="Times New Roman"/>
          <w:color w:val="000000" w:themeColor="text1"/>
          <w:sz w:val="24"/>
          <w:szCs w:val="24"/>
          <w:lang w:eastAsia="zh-CN"/>
          <w14:textFill>
            <w14:solidFill>
              <w14:schemeClr w14:val="tx1"/>
            </w14:solidFill>
          </w14:textFill>
        </w:rPr>
        <w:t>CA公章</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u w:val="single"/>
          <w14:textFill>
            <w14:solidFill>
              <w14:schemeClr w14:val="tx1"/>
            </w14:solidFill>
          </w14:textFill>
        </w:rPr>
        <w:t xml:space="preserve">                     </w:t>
      </w:r>
    </w:p>
    <w:p w14:paraId="3F812B1D">
      <w:pPr>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项目名称：</w:t>
      </w:r>
      <w:r>
        <w:rPr>
          <w:rFonts w:hint="eastAsia" w:ascii="Times New Roman" w:hAnsi="Times New Roman" w:cs="Times New Roman"/>
          <w:color w:val="000000" w:themeColor="text1"/>
          <w:sz w:val="24"/>
          <w:szCs w:val="24"/>
          <w:u w:val="single"/>
          <w14:textFill>
            <w14:solidFill>
              <w14:schemeClr w14:val="tx1"/>
            </w14:solidFill>
          </w14:textFill>
        </w:rPr>
        <w:t>南京机电职业技术学院医务室第三方托管服务项目</w:t>
      </w:r>
      <w:r>
        <w:rPr>
          <w:rFonts w:ascii="Times New Roman" w:hAnsi="Times New Roman" w:cs="Times New Roman"/>
          <w:color w:val="000000" w:themeColor="text1"/>
          <w:sz w:val="24"/>
          <w:szCs w:val="24"/>
          <w:u w:val="single"/>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 </w:t>
      </w:r>
    </w:p>
    <w:tbl>
      <w:tblPr>
        <w:tblStyle w:val="28"/>
        <w:tblW w:w="93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6"/>
        <w:gridCol w:w="2976"/>
        <w:gridCol w:w="1985"/>
        <w:gridCol w:w="1843"/>
        <w:gridCol w:w="1687"/>
      </w:tblGrid>
      <w:tr w14:paraId="45342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2" w:hRule="atLeast"/>
          <w:jc w:val="center"/>
        </w:trPr>
        <w:tc>
          <w:tcPr>
            <w:tcW w:w="876" w:type="dxa"/>
            <w:vAlign w:val="center"/>
          </w:tcPr>
          <w:p w14:paraId="157D0853">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序号</w:t>
            </w:r>
          </w:p>
        </w:tc>
        <w:tc>
          <w:tcPr>
            <w:tcW w:w="2976" w:type="dxa"/>
            <w:vAlign w:val="center"/>
          </w:tcPr>
          <w:p w14:paraId="62452F82">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项目</w:t>
            </w:r>
          </w:p>
        </w:tc>
        <w:tc>
          <w:tcPr>
            <w:tcW w:w="1985" w:type="dxa"/>
            <w:vAlign w:val="center"/>
          </w:tcPr>
          <w:p w14:paraId="5923F403">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采购文件要求</w:t>
            </w:r>
          </w:p>
        </w:tc>
        <w:tc>
          <w:tcPr>
            <w:tcW w:w="1843" w:type="dxa"/>
            <w:vAlign w:val="center"/>
          </w:tcPr>
          <w:p w14:paraId="162544E9">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投标人的承诺或说明</w:t>
            </w:r>
          </w:p>
        </w:tc>
        <w:tc>
          <w:tcPr>
            <w:tcW w:w="1687" w:type="dxa"/>
            <w:vAlign w:val="center"/>
          </w:tcPr>
          <w:p w14:paraId="20B43151">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偏离情况</w:t>
            </w:r>
          </w:p>
        </w:tc>
      </w:tr>
      <w:tr w14:paraId="20D22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76" w:type="dxa"/>
            <w:vAlign w:val="center"/>
          </w:tcPr>
          <w:p w14:paraId="71AC5EE0">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1</w:t>
            </w:r>
          </w:p>
        </w:tc>
        <w:tc>
          <w:tcPr>
            <w:tcW w:w="2976" w:type="dxa"/>
            <w:vAlign w:val="center"/>
          </w:tcPr>
          <w:p w14:paraId="7DF247F8">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985" w:type="dxa"/>
            <w:vAlign w:val="center"/>
          </w:tcPr>
          <w:p w14:paraId="1C2DB6B6">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843" w:type="dxa"/>
            <w:vAlign w:val="center"/>
          </w:tcPr>
          <w:p w14:paraId="5B286493">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687" w:type="dxa"/>
            <w:vAlign w:val="center"/>
          </w:tcPr>
          <w:p w14:paraId="0B94F318">
            <w:pPr>
              <w:pStyle w:val="52"/>
              <w:widowControl w:val="0"/>
              <w:snapToGrid w:val="0"/>
              <w:jc w:val="center"/>
              <w:rPr>
                <w:rFonts w:ascii="Times New Roman" w:cs="Times New Roman"/>
                <w:color w:val="000000" w:themeColor="text1"/>
                <w:kern w:val="2"/>
                <w14:textFill>
                  <w14:solidFill>
                    <w14:schemeClr w14:val="tx1"/>
                  </w14:solidFill>
                </w14:textFill>
              </w:rPr>
            </w:pPr>
          </w:p>
        </w:tc>
      </w:tr>
      <w:tr w14:paraId="2D32B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76" w:type="dxa"/>
            <w:vAlign w:val="center"/>
          </w:tcPr>
          <w:p w14:paraId="77FAA331">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2</w:t>
            </w:r>
          </w:p>
        </w:tc>
        <w:tc>
          <w:tcPr>
            <w:tcW w:w="2976" w:type="dxa"/>
            <w:vAlign w:val="center"/>
          </w:tcPr>
          <w:p w14:paraId="3D0F8539">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985" w:type="dxa"/>
            <w:vAlign w:val="center"/>
          </w:tcPr>
          <w:p w14:paraId="46FD17D2">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843" w:type="dxa"/>
            <w:vAlign w:val="center"/>
          </w:tcPr>
          <w:p w14:paraId="0ABA5428">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687" w:type="dxa"/>
            <w:vAlign w:val="center"/>
          </w:tcPr>
          <w:p w14:paraId="5E454153">
            <w:pPr>
              <w:pStyle w:val="52"/>
              <w:widowControl w:val="0"/>
              <w:snapToGrid w:val="0"/>
              <w:jc w:val="center"/>
              <w:rPr>
                <w:rFonts w:ascii="Times New Roman" w:cs="Times New Roman"/>
                <w:color w:val="000000" w:themeColor="text1"/>
                <w:kern w:val="2"/>
                <w14:textFill>
                  <w14:solidFill>
                    <w14:schemeClr w14:val="tx1"/>
                  </w14:solidFill>
                </w14:textFill>
              </w:rPr>
            </w:pPr>
          </w:p>
        </w:tc>
      </w:tr>
      <w:tr w14:paraId="044DB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76" w:type="dxa"/>
            <w:vAlign w:val="center"/>
          </w:tcPr>
          <w:p w14:paraId="23731351">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3</w:t>
            </w:r>
          </w:p>
        </w:tc>
        <w:tc>
          <w:tcPr>
            <w:tcW w:w="2976" w:type="dxa"/>
            <w:vAlign w:val="center"/>
          </w:tcPr>
          <w:p w14:paraId="147C2805">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985" w:type="dxa"/>
            <w:vAlign w:val="center"/>
          </w:tcPr>
          <w:p w14:paraId="5AD0D3A2">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843" w:type="dxa"/>
            <w:vAlign w:val="center"/>
          </w:tcPr>
          <w:p w14:paraId="3E97789F">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687" w:type="dxa"/>
            <w:vAlign w:val="center"/>
          </w:tcPr>
          <w:p w14:paraId="105618AF">
            <w:pPr>
              <w:pStyle w:val="52"/>
              <w:widowControl w:val="0"/>
              <w:snapToGrid w:val="0"/>
              <w:jc w:val="center"/>
              <w:rPr>
                <w:rFonts w:ascii="Times New Roman" w:cs="Times New Roman"/>
                <w:color w:val="000000" w:themeColor="text1"/>
                <w:kern w:val="2"/>
                <w14:textFill>
                  <w14:solidFill>
                    <w14:schemeClr w14:val="tx1"/>
                  </w14:solidFill>
                </w14:textFill>
              </w:rPr>
            </w:pPr>
          </w:p>
        </w:tc>
      </w:tr>
      <w:tr w14:paraId="236F3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76" w:type="dxa"/>
            <w:vAlign w:val="center"/>
          </w:tcPr>
          <w:p w14:paraId="1C3C8D97">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4</w:t>
            </w:r>
          </w:p>
        </w:tc>
        <w:tc>
          <w:tcPr>
            <w:tcW w:w="2976" w:type="dxa"/>
            <w:vAlign w:val="center"/>
          </w:tcPr>
          <w:p w14:paraId="7F990A7A">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985" w:type="dxa"/>
            <w:vAlign w:val="center"/>
          </w:tcPr>
          <w:p w14:paraId="5599A421">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843" w:type="dxa"/>
            <w:vAlign w:val="center"/>
          </w:tcPr>
          <w:p w14:paraId="330E3B22">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687" w:type="dxa"/>
            <w:vAlign w:val="center"/>
          </w:tcPr>
          <w:p w14:paraId="4247FCEC">
            <w:pPr>
              <w:pStyle w:val="52"/>
              <w:widowControl w:val="0"/>
              <w:snapToGrid w:val="0"/>
              <w:jc w:val="center"/>
              <w:rPr>
                <w:rFonts w:ascii="Times New Roman" w:cs="Times New Roman"/>
                <w:color w:val="000000" w:themeColor="text1"/>
                <w:kern w:val="2"/>
                <w14:textFill>
                  <w14:solidFill>
                    <w14:schemeClr w14:val="tx1"/>
                  </w14:solidFill>
                </w14:textFill>
              </w:rPr>
            </w:pPr>
          </w:p>
        </w:tc>
      </w:tr>
      <w:tr w14:paraId="034A4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76" w:type="dxa"/>
            <w:vAlign w:val="center"/>
          </w:tcPr>
          <w:p w14:paraId="415F45F3">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5</w:t>
            </w:r>
          </w:p>
        </w:tc>
        <w:tc>
          <w:tcPr>
            <w:tcW w:w="2976" w:type="dxa"/>
            <w:vAlign w:val="center"/>
          </w:tcPr>
          <w:p w14:paraId="6FE5141D">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985" w:type="dxa"/>
            <w:vAlign w:val="center"/>
          </w:tcPr>
          <w:p w14:paraId="159C6A12">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843" w:type="dxa"/>
            <w:vAlign w:val="center"/>
          </w:tcPr>
          <w:p w14:paraId="0B9B7E2E">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687" w:type="dxa"/>
            <w:vAlign w:val="center"/>
          </w:tcPr>
          <w:p w14:paraId="215897B6">
            <w:pPr>
              <w:pStyle w:val="52"/>
              <w:widowControl w:val="0"/>
              <w:snapToGrid w:val="0"/>
              <w:jc w:val="center"/>
              <w:rPr>
                <w:rFonts w:ascii="Times New Roman" w:cs="Times New Roman"/>
                <w:color w:val="000000" w:themeColor="text1"/>
                <w:kern w:val="2"/>
                <w14:textFill>
                  <w14:solidFill>
                    <w14:schemeClr w14:val="tx1"/>
                  </w14:solidFill>
                </w14:textFill>
              </w:rPr>
            </w:pPr>
          </w:p>
        </w:tc>
      </w:tr>
      <w:tr w14:paraId="3FAC7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76" w:type="dxa"/>
            <w:vAlign w:val="center"/>
          </w:tcPr>
          <w:p w14:paraId="6AB6988C">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6</w:t>
            </w:r>
          </w:p>
        </w:tc>
        <w:tc>
          <w:tcPr>
            <w:tcW w:w="2976" w:type="dxa"/>
            <w:vAlign w:val="center"/>
          </w:tcPr>
          <w:p w14:paraId="5FDA3D0E">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985" w:type="dxa"/>
            <w:vAlign w:val="center"/>
          </w:tcPr>
          <w:p w14:paraId="0F82EC58">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843" w:type="dxa"/>
            <w:vAlign w:val="center"/>
          </w:tcPr>
          <w:p w14:paraId="6EA6EB78">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687" w:type="dxa"/>
            <w:vAlign w:val="center"/>
          </w:tcPr>
          <w:p w14:paraId="77315B67">
            <w:pPr>
              <w:pStyle w:val="52"/>
              <w:widowControl w:val="0"/>
              <w:snapToGrid w:val="0"/>
              <w:jc w:val="center"/>
              <w:rPr>
                <w:rFonts w:ascii="Times New Roman" w:cs="Times New Roman"/>
                <w:color w:val="000000" w:themeColor="text1"/>
                <w:kern w:val="2"/>
                <w14:textFill>
                  <w14:solidFill>
                    <w14:schemeClr w14:val="tx1"/>
                  </w14:solidFill>
                </w14:textFill>
              </w:rPr>
            </w:pPr>
          </w:p>
        </w:tc>
      </w:tr>
      <w:tr w14:paraId="0EF0C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76" w:type="dxa"/>
            <w:vAlign w:val="center"/>
          </w:tcPr>
          <w:p w14:paraId="6E7FEDF0">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7</w:t>
            </w:r>
          </w:p>
        </w:tc>
        <w:tc>
          <w:tcPr>
            <w:tcW w:w="2976" w:type="dxa"/>
            <w:vAlign w:val="center"/>
          </w:tcPr>
          <w:p w14:paraId="60ED5BA0">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985" w:type="dxa"/>
            <w:vAlign w:val="center"/>
          </w:tcPr>
          <w:p w14:paraId="4EF66DAF">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843" w:type="dxa"/>
            <w:vAlign w:val="center"/>
          </w:tcPr>
          <w:p w14:paraId="2AC185C3">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687" w:type="dxa"/>
            <w:vAlign w:val="center"/>
          </w:tcPr>
          <w:p w14:paraId="0F36CC77">
            <w:pPr>
              <w:pStyle w:val="52"/>
              <w:widowControl w:val="0"/>
              <w:snapToGrid w:val="0"/>
              <w:jc w:val="center"/>
              <w:rPr>
                <w:rFonts w:ascii="Times New Roman" w:cs="Times New Roman"/>
                <w:color w:val="000000" w:themeColor="text1"/>
                <w:kern w:val="2"/>
                <w14:textFill>
                  <w14:solidFill>
                    <w14:schemeClr w14:val="tx1"/>
                  </w14:solidFill>
                </w14:textFill>
              </w:rPr>
            </w:pPr>
          </w:p>
        </w:tc>
      </w:tr>
      <w:tr w14:paraId="4EA7A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76" w:type="dxa"/>
            <w:vAlign w:val="center"/>
          </w:tcPr>
          <w:p w14:paraId="4E8CA554">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8</w:t>
            </w:r>
          </w:p>
        </w:tc>
        <w:tc>
          <w:tcPr>
            <w:tcW w:w="2976" w:type="dxa"/>
            <w:vAlign w:val="center"/>
          </w:tcPr>
          <w:p w14:paraId="5399CC72">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985" w:type="dxa"/>
            <w:vAlign w:val="center"/>
          </w:tcPr>
          <w:p w14:paraId="2CCAE90E">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843" w:type="dxa"/>
            <w:vAlign w:val="center"/>
          </w:tcPr>
          <w:p w14:paraId="54D292C1">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687" w:type="dxa"/>
            <w:vAlign w:val="center"/>
          </w:tcPr>
          <w:p w14:paraId="43790C89">
            <w:pPr>
              <w:pStyle w:val="52"/>
              <w:widowControl w:val="0"/>
              <w:snapToGrid w:val="0"/>
              <w:jc w:val="center"/>
              <w:rPr>
                <w:rFonts w:ascii="Times New Roman" w:cs="Times New Roman"/>
                <w:color w:val="000000" w:themeColor="text1"/>
                <w:kern w:val="2"/>
                <w14:textFill>
                  <w14:solidFill>
                    <w14:schemeClr w14:val="tx1"/>
                  </w14:solidFill>
                </w14:textFill>
              </w:rPr>
            </w:pPr>
          </w:p>
        </w:tc>
      </w:tr>
      <w:tr w14:paraId="2067A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876" w:type="dxa"/>
            <w:vAlign w:val="center"/>
          </w:tcPr>
          <w:p w14:paraId="03DB80F9">
            <w:pPr>
              <w:pStyle w:val="52"/>
              <w:widowControl w:val="0"/>
              <w:snapToGrid w:val="0"/>
              <w:jc w:val="center"/>
              <w:rPr>
                <w:rFonts w:ascii="Times New Roman" w:cs="Times New Roman"/>
                <w:color w:val="000000" w:themeColor="text1"/>
                <w:kern w:val="2"/>
                <w14:textFill>
                  <w14:solidFill>
                    <w14:schemeClr w14:val="tx1"/>
                  </w14:solidFill>
                </w14:textFill>
              </w:rPr>
            </w:pPr>
            <w:r>
              <w:rPr>
                <w:rFonts w:hint="eastAsia" w:ascii="Times New Roman" w:cs="Times New Roman"/>
                <w:color w:val="000000" w:themeColor="text1"/>
                <w:kern w:val="2"/>
                <w14:textFill>
                  <w14:solidFill>
                    <w14:schemeClr w14:val="tx1"/>
                  </w14:solidFill>
                </w14:textFill>
              </w:rPr>
              <w:t>9</w:t>
            </w:r>
          </w:p>
        </w:tc>
        <w:tc>
          <w:tcPr>
            <w:tcW w:w="2976" w:type="dxa"/>
            <w:vAlign w:val="center"/>
          </w:tcPr>
          <w:p w14:paraId="2E2B4F79">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985" w:type="dxa"/>
            <w:vAlign w:val="center"/>
          </w:tcPr>
          <w:p w14:paraId="08D2B806">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843" w:type="dxa"/>
            <w:vAlign w:val="center"/>
          </w:tcPr>
          <w:p w14:paraId="2FBBA71F">
            <w:pPr>
              <w:pStyle w:val="52"/>
              <w:widowControl w:val="0"/>
              <w:snapToGrid w:val="0"/>
              <w:jc w:val="center"/>
              <w:rPr>
                <w:rFonts w:ascii="Times New Roman" w:cs="Times New Roman"/>
                <w:color w:val="000000" w:themeColor="text1"/>
                <w:kern w:val="2"/>
                <w14:textFill>
                  <w14:solidFill>
                    <w14:schemeClr w14:val="tx1"/>
                  </w14:solidFill>
                </w14:textFill>
              </w:rPr>
            </w:pPr>
          </w:p>
        </w:tc>
        <w:tc>
          <w:tcPr>
            <w:tcW w:w="1687" w:type="dxa"/>
            <w:vAlign w:val="center"/>
          </w:tcPr>
          <w:p w14:paraId="6BB73A36">
            <w:pPr>
              <w:pStyle w:val="52"/>
              <w:widowControl w:val="0"/>
              <w:snapToGrid w:val="0"/>
              <w:jc w:val="center"/>
              <w:rPr>
                <w:rFonts w:ascii="Times New Roman" w:cs="Times New Roman"/>
                <w:color w:val="000000" w:themeColor="text1"/>
                <w:kern w:val="2"/>
                <w14:textFill>
                  <w14:solidFill>
                    <w14:schemeClr w14:val="tx1"/>
                  </w14:solidFill>
                </w14:textFill>
              </w:rPr>
            </w:pPr>
          </w:p>
        </w:tc>
      </w:tr>
    </w:tbl>
    <w:p w14:paraId="6904807A">
      <w:pPr>
        <w:pStyle w:val="52"/>
        <w:widowControl w:val="0"/>
        <w:spacing w:line="360" w:lineRule="auto"/>
        <w:ind w:firstLine="4320" w:firstLineChars="1800"/>
        <w:rPr>
          <w:rFonts w:ascii="Times New Roman" w:cs="Times New Roman"/>
          <w:color w:val="000000" w:themeColor="text1"/>
          <w:u w:val="single"/>
          <w14:textFill>
            <w14:solidFill>
              <w14:schemeClr w14:val="tx1"/>
            </w14:solidFill>
          </w14:textFill>
        </w:rPr>
      </w:pPr>
      <w:r>
        <w:rPr>
          <w:rFonts w:ascii="Times New Roman" w:cs="Times New Roman"/>
          <w:color w:val="000000" w:themeColor="text1"/>
          <w14:textFill>
            <w14:solidFill>
              <w14:schemeClr w14:val="tx1"/>
            </w14:solidFill>
          </w14:textFill>
        </w:rPr>
        <w:t>法定代表人（授权代表）签字：</w:t>
      </w:r>
      <w:r>
        <w:rPr>
          <w:rFonts w:ascii="Times New Roman" w:cs="Times New Roman"/>
          <w:color w:val="000000" w:themeColor="text1"/>
          <w:u w:val="single"/>
          <w14:textFill>
            <w14:solidFill>
              <w14:schemeClr w14:val="tx1"/>
            </w14:solidFill>
          </w14:textFill>
        </w:rPr>
        <w:t xml:space="preserve">         </w:t>
      </w:r>
    </w:p>
    <w:p w14:paraId="70A32F31">
      <w:pPr>
        <w:pStyle w:val="52"/>
        <w:widowControl w:val="0"/>
        <w:spacing w:line="360" w:lineRule="auto"/>
        <w:ind w:firstLine="5640" w:firstLineChars="2350"/>
        <w:rPr>
          <w:rFonts w:ascii="Times New Roman" w:cs="Times New Roman"/>
          <w:color w:val="000000" w:themeColor="text1"/>
          <w:u w:val="single"/>
          <w14:textFill>
            <w14:solidFill>
              <w14:schemeClr w14:val="tx1"/>
            </w14:solidFill>
          </w14:textFill>
        </w:rPr>
      </w:pPr>
      <w:r>
        <w:rPr>
          <w:rFonts w:ascii="Times New Roman" w:cs="Times New Roman"/>
          <w:bCs/>
          <w:color w:val="000000" w:themeColor="text1"/>
          <w14:textFill>
            <w14:solidFill>
              <w14:schemeClr w14:val="tx1"/>
            </w14:solidFill>
          </w14:textFill>
        </w:rPr>
        <w:t>日期：</w:t>
      </w:r>
      <w:r>
        <w:rPr>
          <w:rFonts w:ascii="Times New Roman" w:cs="Times New Roman"/>
          <w:bCs/>
          <w:color w:val="000000" w:themeColor="text1"/>
          <w:u w:val="single"/>
          <w14:textFill>
            <w14:solidFill>
              <w14:schemeClr w14:val="tx1"/>
            </w14:solidFill>
          </w14:textFill>
        </w:rPr>
        <w:t xml:space="preserve">       </w:t>
      </w:r>
      <w:r>
        <w:rPr>
          <w:rFonts w:ascii="Times New Roman" w:cs="Times New Roman"/>
          <w:bCs/>
          <w:color w:val="000000" w:themeColor="text1"/>
          <w14:textFill>
            <w14:solidFill>
              <w14:schemeClr w14:val="tx1"/>
            </w14:solidFill>
          </w14:textFill>
        </w:rPr>
        <w:t>年</w:t>
      </w:r>
      <w:r>
        <w:rPr>
          <w:rFonts w:ascii="Times New Roman" w:cs="Times New Roman"/>
          <w:bCs/>
          <w:color w:val="000000" w:themeColor="text1"/>
          <w:u w:val="single"/>
          <w14:textFill>
            <w14:solidFill>
              <w14:schemeClr w14:val="tx1"/>
            </w14:solidFill>
          </w14:textFill>
        </w:rPr>
        <w:t xml:space="preserve">    </w:t>
      </w:r>
      <w:r>
        <w:rPr>
          <w:rFonts w:ascii="Times New Roman" w:cs="Times New Roman"/>
          <w:bCs/>
          <w:color w:val="000000" w:themeColor="text1"/>
          <w14:textFill>
            <w14:solidFill>
              <w14:schemeClr w14:val="tx1"/>
            </w14:solidFill>
          </w14:textFill>
        </w:rPr>
        <w:t>月</w:t>
      </w:r>
      <w:r>
        <w:rPr>
          <w:rFonts w:ascii="Times New Roman" w:cs="Times New Roman"/>
          <w:bCs/>
          <w:color w:val="000000" w:themeColor="text1"/>
          <w:u w:val="single"/>
          <w14:textFill>
            <w14:solidFill>
              <w14:schemeClr w14:val="tx1"/>
            </w14:solidFill>
          </w14:textFill>
        </w:rPr>
        <w:t xml:space="preserve">    </w:t>
      </w:r>
      <w:r>
        <w:rPr>
          <w:rFonts w:ascii="Times New Roman" w:cs="Times New Roman"/>
          <w:bCs/>
          <w:color w:val="000000" w:themeColor="text1"/>
          <w14:textFill>
            <w14:solidFill>
              <w14:schemeClr w14:val="tx1"/>
            </w14:solidFill>
          </w14:textFill>
        </w:rPr>
        <w:t>日</w:t>
      </w:r>
    </w:p>
    <w:p w14:paraId="5B722A80">
      <w:pPr>
        <w:pStyle w:val="52"/>
        <w:widowControl w:val="0"/>
        <w:spacing w:line="360" w:lineRule="auto"/>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注：</w:t>
      </w:r>
    </w:p>
    <w:p w14:paraId="0EB706F9">
      <w:pPr>
        <w:pStyle w:val="52"/>
        <w:widowControl w:val="0"/>
        <w:rPr>
          <w:rFonts w:ascii="Times New Roman" w:cs="Times New Roman"/>
          <w:color w:val="000000" w:themeColor="text1"/>
          <w:sz w:val="21"/>
          <w:szCs w:val="21"/>
          <w14:textFill>
            <w14:solidFill>
              <w14:schemeClr w14:val="tx1"/>
            </w14:solidFill>
          </w14:textFill>
        </w:rPr>
      </w:pPr>
      <w:r>
        <w:rPr>
          <w:rFonts w:hint="eastAsia" w:ascii="Times New Roman" w:cs="Times New Roman"/>
          <w:color w:val="000000" w:themeColor="text1"/>
          <w:sz w:val="21"/>
          <w:szCs w:val="21"/>
          <w14:textFill>
            <w14:solidFill>
              <w14:schemeClr w14:val="tx1"/>
            </w14:solidFill>
          </w14:textFill>
        </w:rPr>
        <w:t>1.</w:t>
      </w:r>
      <w:r>
        <w:rPr>
          <w:rFonts w:ascii="Times New Roman" w:cs="Times New Roman"/>
          <w:color w:val="000000" w:themeColor="text1"/>
          <w:sz w:val="21"/>
          <w:szCs w:val="21"/>
          <w14:textFill>
            <w14:solidFill>
              <w14:schemeClr w14:val="tx1"/>
            </w14:solidFill>
          </w14:textFill>
        </w:rPr>
        <w:t>此表为表样，行数可自行添加，但表式不变；</w:t>
      </w:r>
    </w:p>
    <w:p w14:paraId="1B24203C">
      <w:pPr>
        <w:pStyle w:val="52"/>
        <w:widowControl w:val="0"/>
        <w:rPr>
          <w:rFonts w:ascii="Times New Roman" w:cs="Times New Roman"/>
          <w:color w:val="000000" w:themeColor="text1"/>
          <w:sz w:val="21"/>
          <w:szCs w:val="21"/>
          <w14:textFill>
            <w14:solidFill>
              <w14:schemeClr w14:val="tx1"/>
            </w14:solidFill>
          </w14:textFill>
        </w:rPr>
      </w:pPr>
      <w:r>
        <w:rPr>
          <w:rFonts w:hint="eastAsia" w:ascii="Times New Roman" w:cs="Times New Roman"/>
          <w:color w:val="000000" w:themeColor="text1"/>
          <w:sz w:val="21"/>
          <w:szCs w:val="21"/>
          <w14:textFill>
            <w14:solidFill>
              <w14:schemeClr w14:val="tx1"/>
            </w14:solidFill>
          </w14:textFill>
        </w:rPr>
        <w:t>2.</w:t>
      </w:r>
      <w:r>
        <w:rPr>
          <w:rFonts w:ascii="Times New Roman" w:cs="Times New Roman"/>
          <w:color w:val="000000" w:themeColor="text1"/>
          <w:sz w:val="21"/>
          <w:szCs w:val="21"/>
          <w14:textFill>
            <w14:solidFill>
              <w14:schemeClr w14:val="tx1"/>
            </w14:solidFill>
          </w14:textFill>
        </w:rPr>
        <w:t>投标单位根据项目添加的服务承诺、培训等也请列出；</w:t>
      </w:r>
    </w:p>
    <w:p w14:paraId="14696ED3">
      <w:pPr>
        <w:pStyle w:val="52"/>
        <w:widowControl w:val="0"/>
        <w:rPr>
          <w:rFonts w:ascii="Times New Roman" w:cs="Times New Roman"/>
          <w:color w:val="000000" w:themeColor="text1"/>
          <w:sz w:val="21"/>
          <w:szCs w:val="21"/>
          <w14:textFill>
            <w14:solidFill>
              <w14:schemeClr w14:val="tx1"/>
            </w14:solidFill>
          </w14:textFill>
        </w:rPr>
      </w:pPr>
      <w:r>
        <w:rPr>
          <w:rFonts w:hint="eastAsia" w:ascii="Times New Roman" w:cs="Times New Roman"/>
          <w:color w:val="000000" w:themeColor="text1"/>
          <w:sz w:val="21"/>
          <w:szCs w:val="21"/>
          <w14:textFill>
            <w14:solidFill>
              <w14:schemeClr w14:val="tx1"/>
            </w14:solidFill>
          </w14:textFill>
        </w:rPr>
        <w:t>3.</w:t>
      </w:r>
      <w:r>
        <w:rPr>
          <w:rFonts w:ascii="Times New Roman" w:cs="Times New Roman"/>
          <w:color w:val="000000" w:themeColor="text1"/>
          <w:sz w:val="21"/>
          <w:szCs w:val="21"/>
          <w14:textFill>
            <w14:solidFill>
              <w14:schemeClr w14:val="tx1"/>
            </w14:solidFill>
          </w14:textFill>
        </w:rPr>
        <w:t>是否偏离用符号“+、=、-”分别表示正偏离、完全响应、负偏离；</w:t>
      </w:r>
    </w:p>
    <w:p w14:paraId="7B2BB256">
      <w:pPr>
        <w:pStyle w:val="52"/>
        <w:widowControl w:val="0"/>
        <w:rPr>
          <w:rFonts w:ascii="Times New Roman" w:cs="Times New Roman"/>
          <w:color w:val="000000" w:themeColor="text1"/>
          <w:sz w:val="21"/>
          <w:szCs w:val="21"/>
          <w14:textFill>
            <w14:solidFill>
              <w14:schemeClr w14:val="tx1"/>
            </w14:solidFill>
          </w14:textFill>
        </w:rPr>
      </w:pPr>
      <w:r>
        <w:rPr>
          <w:rFonts w:hint="eastAsia" w:ascii="Times New Roman" w:cs="Times New Roman"/>
          <w:color w:val="000000" w:themeColor="text1"/>
          <w:sz w:val="21"/>
          <w:szCs w:val="21"/>
          <w14:textFill>
            <w14:solidFill>
              <w14:schemeClr w14:val="tx1"/>
            </w14:solidFill>
          </w14:textFill>
        </w:rPr>
        <w:t>4.</w:t>
      </w:r>
      <w:r>
        <w:rPr>
          <w:rFonts w:ascii="Times New Roman" w:cs="Times New Roman"/>
          <w:color w:val="000000" w:themeColor="text1"/>
          <w:sz w:val="21"/>
          <w:szCs w:val="21"/>
          <w14:textFill>
            <w14:solidFill>
              <w14:schemeClr w14:val="tx1"/>
            </w14:solidFill>
          </w14:textFill>
        </w:rPr>
        <w:t>投标单位必须仔细阅读采购文件中所有商务条款和相关服务要求，并对所有商务条款和服务要求偏离的条目列入上表。投标单位必须根据所将提供服务的实际情况如实填写，评标工作组如发现有虚假描述的，该投标文件视为无效。</w:t>
      </w:r>
      <w:bookmarkStart w:id="78" w:name="_Toc11859496"/>
    </w:p>
    <w:p w14:paraId="6BB22F83">
      <w:pPr>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br w:type="page"/>
      </w:r>
    </w:p>
    <w:p w14:paraId="7674ABD2">
      <w:pPr>
        <w:pStyle w:val="52"/>
        <w:widowControl w:val="0"/>
        <w:rPr>
          <w:rFonts w:ascii="Times New Roman" w:hAnsi="Times New Roman" w:eastAsia="黑体" w:cs="Times New Roman"/>
          <w:color w:val="000000" w:themeColor="text1"/>
          <w:sz w:val="24"/>
          <w:szCs w:val="24"/>
          <w:u w:color="000000"/>
          <w14:textFill>
            <w14:solidFill>
              <w14:schemeClr w14:val="tx1"/>
            </w14:solidFill>
          </w14:textFill>
        </w:rPr>
      </w:pPr>
      <w:r>
        <w:rPr>
          <w:rFonts w:ascii="Times New Roman" w:hAnsi="Times New Roman" w:eastAsia="黑体" w:cs="Times New Roman"/>
          <w:color w:val="000000" w:themeColor="text1"/>
          <w:sz w:val="24"/>
          <w:szCs w:val="24"/>
          <w:u w:color="000000"/>
          <w14:textFill>
            <w14:solidFill>
              <w14:schemeClr w14:val="tx1"/>
            </w14:solidFill>
          </w14:textFill>
        </w:rPr>
        <w:t xml:space="preserve">6.6 </w:t>
      </w:r>
      <w:r>
        <w:rPr>
          <w:rFonts w:hint="eastAsia" w:ascii="Times New Roman" w:hAnsi="Times New Roman" w:eastAsia="黑体" w:cs="Times New Roman"/>
          <w:color w:val="000000" w:themeColor="text1"/>
          <w:sz w:val="24"/>
          <w:szCs w:val="24"/>
          <w:u w:color="000000"/>
          <w14:textFill>
            <w14:solidFill>
              <w14:schemeClr w14:val="tx1"/>
            </w14:solidFill>
          </w14:textFill>
        </w:rPr>
        <w:t>技术参数响应及偏离表</w:t>
      </w:r>
      <w:bookmarkEnd w:id="78"/>
    </w:p>
    <w:p w14:paraId="30230067">
      <w:pPr>
        <w:spacing w:before="156" w:beforeLines="50" w:after="156" w:afterLines="50" w:line="360" w:lineRule="auto"/>
        <w:jc w:val="center"/>
        <w:rPr>
          <w:rFonts w:ascii="黑体" w:hAnsi="黑体" w:eastAsia="黑体" w:cs="Times New Roman"/>
          <w:bCs/>
          <w:color w:val="000000" w:themeColor="text1"/>
          <w:sz w:val="28"/>
          <w:szCs w:val="28"/>
          <w:u w:color="000000"/>
          <w:lang w:val="zh-TW"/>
          <w14:textFill>
            <w14:solidFill>
              <w14:schemeClr w14:val="tx1"/>
            </w14:solidFill>
          </w14:textFill>
        </w:rPr>
      </w:pPr>
      <w:r>
        <w:rPr>
          <w:rFonts w:hint="eastAsia" w:ascii="黑体" w:hAnsi="黑体" w:eastAsia="黑体" w:cs="Times New Roman"/>
          <w:bCs/>
          <w:color w:val="000000" w:themeColor="text1"/>
          <w:sz w:val="28"/>
          <w:szCs w:val="28"/>
          <w:u w:color="000000"/>
          <w:lang w:val="zh-TW"/>
          <w14:textFill>
            <w14:solidFill>
              <w14:schemeClr w14:val="tx1"/>
            </w14:solidFill>
          </w14:textFill>
        </w:rPr>
        <w:t>技术参数响应及偏离表</w:t>
      </w:r>
    </w:p>
    <w:p w14:paraId="3CB18864">
      <w:pPr>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投标人全称</w:t>
      </w:r>
      <w:r>
        <w:rPr>
          <w:rFonts w:hint="eastAsia" w:ascii="Times New Roman" w:hAnsi="Times New Roman" w:cs="Times New Roman"/>
          <w:color w:val="000000" w:themeColor="text1"/>
          <w:sz w:val="24"/>
          <w:szCs w:val="24"/>
          <w14:textFill>
            <w14:solidFill>
              <w14:schemeClr w14:val="tx1"/>
            </w14:solidFill>
          </w14:textFill>
        </w:rPr>
        <w:t>（投标人</w:t>
      </w:r>
      <w:r>
        <w:rPr>
          <w:rFonts w:hint="eastAsia" w:ascii="Times New Roman" w:hAnsi="Times New Roman" w:cs="Times New Roman"/>
          <w:color w:val="000000" w:themeColor="text1"/>
          <w:sz w:val="24"/>
          <w:szCs w:val="24"/>
          <w:lang w:eastAsia="zh-CN"/>
          <w14:textFill>
            <w14:solidFill>
              <w14:schemeClr w14:val="tx1"/>
            </w14:solidFill>
          </w14:textFill>
        </w:rPr>
        <w:t>CA公章</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u w:val="single"/>
          <w14:textFill>
            <w14:solidFill>
              <w14:schemeClr w14:val="tx1"/>
            </w14:solidFill>
          </w14:textFill>
        </w:rPr>
        <w:t xml:space="preserve">                     </w:t>
      </w:r>
    </w:p>
    <w:p w14:paraId="0FE23C46">
      <w:pPr>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项目名称：</w:t>
      </w:r>
      <w:r>
        <w:rPr>
          <w:rFonts w:hint="eastAsia" w:ascii="Times New Roman" w:hAnsi="Times New Roman" w:cs="Times New Roman"/>
          <w:color w:val="000000" w:themeColor="text1"/>
          <w:sz w:val="24"/>
          <w:szCs w:val="24"/>
          <w:u w:val="single"/>
          <w14:textFill>
            <w14:solidFill>
              <w14:schemeClr w14:val="tx1"/>
            </w14:solidFill>
          </w14:textFill>
        </w:rPr>
        <w:t>南京机电职业技术学院医务室第三方托管服务项目</w:t>
      </w:r>
      <w:r>
        <w:rPr>
          <w:rFonts w:ascii="Times New Roman" w:hAnsi="Times New Roman" w:cs="Times New Roman"/>
          <w:color w:val="000000" w:themeColor="text1"/>
          <w:sz w:val="24"/>
          <w:szCs w:val="24"/>
          <w:u w:val="single"/>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 </w:t>
      </w:r>
    </w:p>
    <w:tbl>
      <w:tblPr>
        <w:tblStyle w:val="28"/>
        <w:tblW w:w="91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84"/>
        <w:gridCol w:w="4086"/>
        <w:gridCol w:w="1618"/>
        <w:gridCol w:w="1308"/>
        <w:gridCol w:w="1173"/>
      </w:tblGrid>
      <w:tr w14:paraId="7422B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42" w:hRule="atLeast"/>
          <w:jc w:val="center"/>
        </w:trPr>
        <w:tc>
          <w:tcPr>
            <w:tcW w:w="984" w:type="dxa"/>
            <w:tcBorders>
              <w:top w:val="single" w:color="auto" w:sz="4" w:space="0"/>
              <w:left w:val="single" w:color="auto" w:sz="4" w:space="0"/>
              <w:bottom w:val="single" w:color="auto" w:sz="4" w:space="0"/>
              <w:right w:val="single" w:color="auto" w:sz="4" w:space="0"/>
            </w:tcBorders>
            <w:vAlign w:val="center"/>
          </w:tcPr>
          <w:p w14:paraId="0A9F3726">
            <w:pPr>
              <w:adjustRightInd w:val="0"/>
              <w:snapToGrid w:val="0"/>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序号</w:t>
            </w:r>
          </w:p>
        </w:tc>
        <w:tc>
          <w:tcPr>
            <w:tcW w:w="4086" w:type="dxa"/>
            <w:tcBorders>
              <w:top w:val="single" w:color="auto" w:sz="4" w:space="0"/>
              <w:left w:val="single" w:color="auto" w:sz="4" w:space="0"/>
              <w:bottom w:val="single" w:color="auto" w:sz="4" w:space="0"/>
              <w:right w:val="single" w:color="auto" w:sz="4" w:space="0"/>
            </w:tcBorders>
            <w:vAlign w:val="center"/>
          </w:tcPr>
          <w:p w14:paraId="290B6234">
            <w:pPr>
              <w:adjustRightInd w:val="0"/>
              <w:snapToGrid w:val="0"/>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采购文件要求</w:t>
            </w:r>
          </w:p>
        </w:tc>
        <w:tc>
          <w:tcPr>
            <w:tcW w:w="1618" w:type="dxa"/>
            <w:tcBorders>
              <w:top w:val="single" w:color="auto" w:sz="4" w:space="0"/>
              <w:left w:val="single" w:color="auto" w:sz="4" w:space="0"/>
              <w:bottom w:val="single" w:color="auto" w:sz="4" w:space="0"/>
              <w:right w:val="single" w:color="auto" w:sz="4" w:space="0"/>
            </w:tcBorders>
            <w:vAlign w:val="center"/>
          </w:tcPr>
          <w:p w14:paraId="1D643429">
            <w:pPr>
              <w:adjustRightInd w:val="0"/>
              <w:snapToGrid w:val="0"/>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投标人响应</w:t>
            </w:r>
          </w:p>
        </w:tc>
        <w:tc>
          <w:tcPr>
            <w:tcW w:w="1308" w:type="dxa"/>
            <w:tcBorders>
              <w:top w:val="single" w:color="auto" w:sz="4" w:space="0"/>
              <w:left w:val="single" w:color="auto" w:sz="4" w:space="0"/>
              <w:bottom w:val="single" w:color="auto" w:sz="4" w:space="0"/>
              <w:right w:val="single" w:color="auto" w:sz="4" w:space="0"/>
            </w:tcBorders>
            <w:vAlign w:val="center"/>
          </w:tcPr>
          <w:p w14:paraId="1E165422">
            <w:pPr>
              <w:adjustRightInd w:val="0"/>
              <w:snapToGrid w:val="0"/>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超出、符合或偏离</w:t>
            </w:r>
          </w:p>
        </w:tc>
        <w:tc>
          <w:tcPr>
            <w:tcW w:w="1173" w:type="dxa"/>
            <w:tcBorders>
              <w:top w:val="single" w:color="auto" w:sz="4" w:space="0"/>
              <w:left w:val="single" w:color="auto" w:sz="4" w:space="0"/>
              <w:bottom w:val="single" w:color="auto" w:sz="4" w:space="0"/>
              <w:right w:val="single" w:color="auto" w:sz="4" w:space="0"/>
            </w:tcBorders>
            <w:vAlign w:val="center"/>
          </w:tcPr>
          <w:p w14:paraId="1F35E342">
            <w:pPr>
              <w:adjustRightInd w:val="0"/>
              <w:snapToGrid w:val="0"/>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原因</w:t>
            </w:r>
          </w:p>
        </w:tc>
      </w:tr>
      <w:tr w14:paraId="1E0461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0D1FA67B">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15CDDFEB">
            <w:pPr>
              <w:jc w:val="center"/>
              <w:rPr>
                <w:rFonts w:ascii="Times New Roman" w:hAnsi="Times New Roman" w:cs="Times New Roman"/>
                <w:color w:val="000000" w:themeColor="text1"/>
                <w:sz w:val="24"/>
                <w:szCs w:val="24"/>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71DC0A60">
            <w:pPr>
              <w:jc w:val="center"/>
              <w:rPr>
                <w:rFonts w:ascii="Times New Roman" w:hAnsi="Times New Roman" w:cs="Times New Roman"/>
                <w:color w:val="000000" w:themeColor="text1"/>
                <w:sz w:val="24"/>
                <w:szCs w:val="24"/>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1EFD005C">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20F9769A">
            <w:pPr>
              <w:jc w:val="center"/>
              <w:rPr>
                <w:rFonts w:ascii="Times New Roman" w:hAnsi="Times New Roman" w:cs="Times New Roman"/>
                <w:color w:val="000000" w:themeColor="text1"/>
                <w:sz w:val="24"/>
                <w:szCs w:val="24"/>
                <w14:textFill>
                  <w14:solidFill>
                    <w14:schemeClr w14:val="tx1"/>
                  </w14:solidFill>
                </w14:textFill>
              </w:rPr>
            </w:pPr>
          </w:p>
        </w:tc>
      </w:tr>
      <w:tr w14:paraId="5AD9F4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19002F9C">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565D610B">
            <w:pPr>
              <w:jc w:val="center"/>
              <w:rPr>
                <w:rFonts w:ascii="Times New Roman" w:hAnsi="Times New Roman" w:cs="Times New Roman"/>
                <w:color w:val="000000" w:themeColor="text1"/>
                <w:sz w:val="24"/>
                <w:szCs w:val="24"/>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529DAD62">
            <w:pPr>
              <w:jc w:val="center"/>
              <w:rPr>
                <w:rFonts w:ascii="Times New Roman" w:hAnsi="Times New Roman" w:cs="Times New Roman"/>
                <w:color w:val="000000" w:themeColor="text1"/>
                <w:sz w:val="24"/>
                <w:szCs w:val="24"/>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3007EEA1">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6753A6B5">
            <w:pPr>
              <w:jc w:val="center"/>
              <w:rPr>
                <w:rFonts w:ascii="Times New Roman" w:hAnsi="Times New Roman" w:cs="Times New Roman"/>
                <w:color w:val="000000" w:themeColor="text1"/>
                <w:sz w:val="24"/>
                <w:szCs w:val="24"/>
                <w14:textFill>
                  <w14:solidFill>
                    <w14:schemeClr w14:val="tx1"/>
                  </w14:solidFill>
                </w14:textFill>
              </w:rPr>
            </w:pPr>
          </w:p>
        </w:tc>
      </w:tr>
      <w:tr w14:paraId="6D741B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1A3E2271">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18C742F8">
            <w:pPr>
              <w:rPr>
                <w:rFonts w:ascii="Times New Roman" w:hAnsi="Times New Roman" w:cs="Times New Roman"/>
                <w:color w:val="000000" w:themeColor="text1"/>
                <w:sz w:val="24"/>
                <w:szCs w:val="24"/>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444A4A82">
            <w:pPr>
              <w:jc w:val="center"/>
              <w:rPr>
                <w:rFonts w:ascii="Times New Roman" w:hAnsi="Times New Roman" w:cs="Times New Roman"/>
                <w:color w:val="000000" w:themeColor="text1"/>
                <w:sz w:val="24"/>
                <w:szCs w:val="24"/>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58C44687">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58251AEC">
            <w:pPr>
              <w:jc w:val="center"/>
              <w:rPr>
                <w:rFonts w:ascii="Times New Roman" w:hAnsi="Times New Roman" w:cs="Times New Roman"/>
                <w:color w:val="000000" w:themeColor="text1"/>
                <w:sz w:val="24"/>
                <w:szCs w:val="24"/>
                <w14:textFill>
                  <w14:solidFill>
                    <w14:schemeClr w14:val="tx1"/>
                  </w14:solidFill>
                </w14:textFill>
              </w:rPr>
            </w:pPr>
          </w:p>
        </w:tc>
      </w:tr>
      <w:tr w14:paraId="47CF6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4BD5CE52">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059A22CF">
            <w:pPr>
              <w:rPr>
                <w:rFonts w:ascii="Times New Roman" w:hAnsi="Times New Roman" w:cs="Times New Roman"/>
                <w:color w:val="000000" w:themeColor="text1"/>
                <w:sz w:val="24"/>
                <w:szCs w:val="24"/>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356A7AF9">
            <w:pPr>
              <w:jc w:val="center"/>
              <w:rPr>
                <w:rFonts w:ascii="Times New Roman" w:hAnsi="Times New Roman" w:cs="Times New Roman"/>
                <w:color w:val="000000" w:themeColor="text1"/>
                <w:sz w:val="24"/>
                <w:szCs w:val="24"/>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76A726BB">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3B1A39F6">
            <w:pPr>
              <w:jc w:val="center"/>
              <w:rPr>
                <w:rFonts w:ascii="Times New Roman" w:hAnsi="Times New Roman" w:cs="Times New Roman"/>
                <w:color w:val="000000" w:themeColor="text1"/>
                <w:sz w:val="24"/>
                <w:szCs w:val="24"/>
                <w14:textFill>
                  <w14:solidFill>
                    <w14:schemeClr w14:val="tx1"/>
                  </w14:solidFill>
                </w14:textFill>
              </w:rPr>
            </w:pPr>
          </w:p>
        </w:tc>
      </w:tr>
      <w:tr w14:paraId="630E50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70AF93BF">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44C33DBD">
            <w:pPr>
              <w:rPr>
                <w:rFonts w:ascii="Times New Roman" w:hAnsi="Times New Roman" w:cs="Times New Roman"/>
                <w:color w:val="000000" w:themeColor="text1"/>
                <w:sz w:val="24"/>
                <w:szCs w:val="24"/>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708F34E7">
            <w:pPr>
              <w:jc w:val="center"/>
              <w:rPr>
                <w:rFonts w:ascii="Times New Roman" w:hAnsi="Times New Roman" w:cs="Times New Roman"/>
                <w:color w:val="000000" w:themeColor="text1"/>
                <w:sz w:val="24"/>
                <w:szCs w:val="24"/>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77A312D6">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240318EB">
            <w:pPr>
              <w:jc w:val="center"/>
              <w:rPr>
                <w:rFonts w:ascii="Times New Roman" w:hAnsi="Times New Roman" w:cs="Times New Roman"/>
                <w:color w:val="000000" w:themeColor="text1"/>
                <w:sz w:val="24"/>
                <w:szCs w:val="24"/>
                <w14:textFill>
                  <w14:solidFill>
                    <w14:schemeClr w14:val="tx1"/>
                  </w14:solidFill>
                </w14:textFill>
              </w:rPr>
            </w:pPr>
          </w:p>
        </w:tc>
      </w:tr>
      <w:tr w14:paraId="697E4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5E77D8F9">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24648E70">
            <w:pPr>
              <w:rPr>
                <w:rFonts w:ascii="Times New Roman" w:hAnsi="Times New Roman" w:cs="Times New Roman"/>
                <w:color w:val="000000" w:themeColor="text1"/>
                <w:sz w:val="24"/>
                <w:szCs w:val="24"/>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6FDF609F">
            <w:pPr>
              <w:jc w:val="center"/>
              <w:rPr>
                <w:rFonts w:ascii="Times New Roman" w:hAnsi="Times New Roman" w:cs="Times New Roman"/>
                <w:color w:val="000000" w:themeColor="text1"/>
                <w:sz w:val="24"/>
                <w:szCs w:val="24"/>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7ADE516B">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5E2D79D1">
            <w:pPr>
              <w:jc w:val="center"/>
              <w:rPr>
                <w:rFonts w:ascii="Times New Roman" w:hAnsi="Times New Roman" w:cs="Times New Roman"/>
                <w:color w:val="000000" w:themeColor="text1"/>
                <w:sz w:val="24"/>
                <w:szCs w:val="24"/>
                <w14:textFill>
                  <w14:solidFill>
                    <w14:schemeClr w14:val="tx1"/>
                  </w14:solidFill>
                </w14:textFill>
              </w:rPr>
            </w:pPr>
          </w:p>
        </w:tc>
      </w:tr>
      <w:tr w14:paraId="0E3CC2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26BB3288">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35CCE360">
            <w:pPr>
              <w:rPr>
                <w:rFonts w:ascii="Times New Roman" w:hAnsi="Times New Roman" w:cs="Times New Roman"/>
                <w:color w:val="000000" w:themeColor="text1"/>
                <w:sz w:val="24"/>
                <w:szCs w:val="24"/>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6C2EC5FB">
            <w:pPr>
              <w:jc w:val="center"/>
              <w:rPr>
                <w:rFonts w:ascii="Times New Roman" w:hAnsi="Times New Roman" w:cs="Times New Roman"/>
                <w:color w:val="000000" w:themeColor="text1"/>
                <w:sz w:val="24"/>
                <w:szCs w:val="24"/>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6EBEECA0">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04A7CBDE">
            <w:pPr>
              <w:jc w:val="center"/>
              <w:rPr>
                <w:rFonts w:ascii="Times New Roman" w:hAnsi="Times New Roman" w:cs="Times New Roman"/>
                <w:color w:val="000000" w:themeColor="text1"/>
                <w:sz w:val="24"/>
                <w:szCs w:val="24"/>
                <w14:textFill>
                  <w14:solidFill>
                    <w14:schemeClr w14:val="tx1"/>
                  </w14:solidFill>
                </w14:textFill>
              </w:rPr>
            </w:pPr>
          </w:p>
        </w:tc>
      </w:tr>
      <w:tr w14:paraId="5E419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46705B06">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14ED050E">
            <w:pPr>
              <w:rPr>
                <w:rFonts w:ascii="Times New Roman" w:hAnsi="Times New Roman" w:cs="Times New Roman"/>
                <w:color w:val="000000" w:themeColor="text1"/>
                <w:sz w:val="24"/>
                <w:szCs w:val="24"/>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63CEADC7">
            <w:pPr>
              <w:jc w:val="center"/>
              <w:rPr>
                <w:rFonts w:ascii="Times New Roman" w:hAnsi="Times New Roman" w:cs="Times New Roman"/>
                <w:color w:val="000000" w:themeColor="text1"/>
                <w:sz w:val="24"/>
                <w:szCs w:val="24"/>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17409C77">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420FCE96">
            <w:pPr>
              <w:jc w:val="center"/>
              <w:rPr>
                <w:rFonts w:ascii="Times New Roman" w:hAnsi="Times New Roman" w:cs="Times New Roman"/>
                <w:color w:val="000000" w:themeColor="text1"/>
                <w:sz w:val="24"/>
                <w:szCs w:val="24"/>
                <w14:textFill>
                  <w14:solidFill>
                    <w14:schemeClr w14:val="tx1"/>
                  </w14:solidFill>
                </w14:textFill>
              </w:rPr>
            </w:pPr>
          </w:p>
        </w:tc>
      </w:tr>
      <w:tr w14:paraId="70087E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4F1EA198">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1CE81ED8">
            <w:pPr>
              <w:rPr>
                <w:rFonts w:ascii="Times New Roman" w:hAnsi="Times New Roman" w:cs="Times New Roman"/>
                <w:color w:val="000000" w:themeColor="text1"/>
                <w:sz w:val="24"/>
                <w:szCs w:val="24"/>
                <w:shd w:val="clear" w:color="auto" w:fill="FFFFFF"/>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2E19088C">
            <w:pPr>
              <w:jc w:val="center"/>
              <w:rPr>
                <w:rFonts w:ascii="Times New Roman" w:hAnsi="Times New Roman" w:cs="Times New Roman"/>
                <w:color w:val="000000" w:themeColor="text1"/>
                <w:sz w:val="24"/>
                <w:szCs w:val="24"/>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00876794">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4AB7A6DA">
            <w:pPr>
              <w:jc w:val="center"/>
              <w:rPr>
                <w:rFonts w:ascii="Times New Roman" w:hAnsi="Times New Roman" w:cs="Times New Roman"/>
                <w:color w:val="000000" w:themeColor="text1"/>
                <w:sz w:val="24"/>
                <w:szCs w:val="24"/>
                <w14:textFill>
                  <w14:solidFill>
                    <w14:schemeClr w14:val="tx1"/>
                  </w14:solidFill>
                </w14:textFill>
              </w:rPr>
            </w:pPr>
          </w:p>
        </w:tc>
      </w:tr>
      <w:tr w14:paraId="0C6507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0" w:hRule="atLeast"/>
          <w:jc w:val="center"/>
        </w:trPr>
        <w:tc>
          <w:tcPr>
            <w:tcW w:w="984" w:type="dxa"/>
            <w:tcBorders>
              <w:top w:val="single" w:color="auto" w:sz="4" w:space="0"/>
              <w:left w:val="single" w:color="auto" w:sz="4" w:space="0"/>
              <w:bottom w:val="single" w:color="auto" w:sz="4" w:space="0"/>
              <w:right w:val="single" w:color="auto" w:sz="4" w:space="0"/>
            </w:tcBorders>
          </w:tcPr>
          <w:p w14:paraId="12460513">
            <w:pPr>
              <w:jc w:val="center"/>
              <w:rPr>
                <w:rFonts w:ascii="Times New Roman" w:hAnsi="Times New Roman" w:cs="Times New Roman"/>
                <w:color w:val="000000" w:themeColor="text1"/>
                <w:sz w:val="24"/>
                <w:szCs w:val="24"/>
                <w14:textFill>
                  <w14:solidFill>
                    <w14:schemeClr w14:val="tx1"/>
                  </w14:solidFill>
                </w14:textFill>
              </w:rPr>
            </w:pPr>
          </w:p>
        </w:tc>
        <w:tc>
          <w:tcPr>
            <w:tcW w:w="4086" w:type="dxa"/>
            <w:tcBorders>
              <w:top w:val="single" w:color="auto" w:sz="4" w:space="0"/>
              <w:left w:val="single" w:color="auto" w:sz="4" w:space="0"/>
              <w:bottom w:val="single" w:color="auto" w:sz="4" w:space="0"/>
              <w:right w:val="single" w:color="auto" w:sz="4" w:space="0"/>
            </w:tcBorders>
          </w:tcPr>
          <w:p w14:paraId="6472226B">
            <w:pPr>
              <w:rPr>
                <w:rFonts w:ascii="Times New Roman" w:hAnsi="Times New Roman" w:cs="Times New Roman"/>
                <w:color w:val="000000" w:themeColor="text1"/>
                <w:sz w:val="24"/>
                <w:szCs w:val="24"/>
                <w:shd w:val="clear" w:color="auto" w:fill="FFFFFF"/>
                <w14:textFill>
                  <w14:solidFill>
                    <w14:schemeClr w14:val="tx1"/>
                  </w14:solidFill>
                </w14:textFill>
              </w:rPr>
            </w:pPr>
          </w:p>
        </w:tc>
        <w:tc>
          <w:tcPr>
            <w:tcW w:w="1618" w:type="dxa"/>
            <w:tcBorders>
              <w:top w:val="single" w:color="auto" w:sz="4" w:space="0"/>
              <w:left w:val="single" w:color="auto" w:sz="4" w:space="0"/>
              <w:bottom w:val="single" w:color="auto" w:sz="4" w:space="0"/>
              <w:right w:val="single" w:color="auto" w:sz="4" w:space="0"/>
            </w:tcBorders>
          </w:tcPr>
          <w:p w14:paraId="76C836E2">
            <w:pPr>
              <w:rPr>
                <w:rFonts w:ascii="Times New Roman" w:hAnsi="Times New Roman" w:cs="Times New Roman"/>
                <w:color w:val="000000" w:themeColor="text1"/>
                <w:sz w:val="24"/>
                <w:szCs w:val="24"/>
                <w:shd w:val="clear" w:color="auto" w:fill="FFFFFF"/>
                <w14:textFill>
                  <w14:solidFill>
                    <w14:schemeClr w14:val="tx1"/>
                  </w14:solidFill>
                </w14:textFill>
              </w:rPr>
            </w:pPr>
          </w:p>
        </w:tc>
        <w:tc>
          <w:tcPr>
            <w:tcW w:w="1308" w:type="dxa"/>
            <w:tcBorders>
              <w:top w:val="single" w:color="auto" w:sz="4" w:space="0"/>
              <w:left w:val="single" w:color="auto" w:sz="4" w:space="0"/>
              <w:bottom w:val="single" w:color="auto" w:sz="4" w:space="0"/>
              <w:right w:val="single" w:color="auto" w:sz="4" w:space="0"/>
            </w:tcBorders>
          </w:tcPr>
          <w:p w14:paraId="3418F8D1">
            <w:pPr>
              <w:jc w:val="center"/>
              <w:rPr>
                <w:rFonts w:ascii="Times New Roman" w:hAnsi="Times New Roman" w:cs="Times New Roman"/>
                <w:color w:val="000000" w:themeColor="text1"/>
                <w:sz w:val="24"/>
                <w:szCs w:val="24"/>
                <w14:textFill>
                  <w14:solidFill>
                    <w14:schemeClr w14:val="tx1"/>
                  </w14:solidFill>
                </w14:textFill>
              </w:rPr>
            </w:pPr>
          </w:p>
        </w:tc>
        <w:tc>
          <w:tcPr>
            <w:tcW w:w="1173" w:type="dxa"/>
            <w:tcBorders>
              <w:top w:val="single" w:color="auto" w:sz="4" w:space="0"/>
              <w:left w:val="single" w:color="auto" w:sz="4" w:space="0"/>
              <w:bottom w:val="single" w:color="auto" w:sz="4" w:space="0"/>
              <w:right w:val="single" w:color="auto" w:sz="4" w:space="0"/>
            </w:tcBorders>
          </w:tcPr>
          <w:p w14:paraId="296FAAB3">
            <w:pPr>
              <w:jc w:val="center"/>
              <w:rPr>
                <w:rFonts w:ascii="Times New Roman" w:hAnsi="Times New Roman" w:cs="Times New Roman"/>
                <w:color w:val="000000" w:themeColor="text1"/>
                <w:sz w:val="24"/>
                <w:szCs w:val="24"/>
                <w14:textFill>
                  <w14:solidFill>
                    <w14:schemeClr w14:val="tx1"/>
                  </w14:solidFill>
                </w14:textFill>
              </w:rPr>
            </w:pPr>
          </w:p>
        </w:tc>
      </w:tr>
    </w:tbl>
    <w:p w14:paraId="301354D5">
      <w:pPr>
        <w:pStyle w:val="52"/>
        <w:widowControl w:val="0"/>
        <w:spacing w:line="360" w:lineRule="auto"/>
        <w:ind w:firstLine="4320" w:firstLineChars="1800"/>
        <w:rPr>
          <w:rFonts w:ascii="Times New Roman" w:cs="Times New Roman"/>
          <w:color w:val="000000" w:themeColor="text1"/>
          <w:u w:val="single"/>
          <w14:textFill>
            <w14:solidFill>
              <w14:schemeClr w14:val="tx1"/>
            </w14:solidFill>
          </w14:textFill>
        </w:rPr>
      </w:pPr>
      <w:r>
        <w:rPr>
          <w:rFonts w:ascii="Times New Roman" w:cs="Times New Roman"/>
          <w:color w:val="000000" w:themeColor="text1"/>
          <w14:textFill>
            <w14:solidFill>
              <w14:schemeClr w14:val="tx1"/>
            </w14:solidFill>
          </w14:textFill>
        </w:rPr>
        <w:t>法定代表人（授权代表）签字：</w:t>
      </w:r>
      <w:r>
        <w:rPr>
          <w:rFonts w:ascii="Times New Roman" w:cs="Times New Roman"/>
          <w:color w:val="000000" w:themeColor="text1"/>
          <w:u w:val="single"/>
          <w14:textFill>
            <w14:solidFill>
              <w14:schemeClr w14:val="tx1"/>
            </w14:solidFill>
          </w14:textFill>
        </w:rPr>
        <w:t xml:space="preserve">         </w:t>
      </w:r>
    </w:p>
    <w:p w14:paraId="55830028">
      <w:pPr>
        <w:pStyle w:val="52"/>
        <w:widowControl w:val="0"/>
        <w:spacing w:line="360" w:lineRule="auto"/>
        <w:ind w:firstLine="5040" w:firstLineChars="2100"/>
        <w:rPr>
          <w:rFonts w:ascii="Times New Roman" w:cs="Times New Roman"/>
          <w:color w:val="000000" w:themeColor="text1"/>
          <w:u w:val="single"/>
          <w14:textFill>
            <w14:solidFill>
              <w14:schemeClr w14:val="tx1"/>
            </w14:solidFill>
          </w14:textFill>
        </w:rPr>
      </w:pPr>
      <w:r>
        <w:rPr>
          <w:rFonts w:ascii="Times New Roman" w:cs="Times New Roman"/>
          <w:bCs/>
          <w:color w:val="000000" w:themeColor="text1"/>
          <w14:textFill>
            <w14:solidFill>
              <w14:schemeClr w14:val="tx1"/>
            </w14:solidFill>
          </w14:textFill>
        </w:rPr>
        <w:t>日期：</w:t>
      </w:r>
      <w:r>
        <w:rPr>
          <w:rFonts w:ascii="Times New Roman" w:cs="Times New Roman"/>
          <w:bCs/>
          <w:color w:val="000000" w:themeColor="text1"/>
          <w:u w:val="single"/>
          <w14:textFill>
            <w14:solidFill>
              <w14:schemeClr w14:val="tx1"/>
            </w14:solidFill>
          </w14:textFill>
        </w:rPr>
        <w:t xml:space="preserve">       </w:t>
      </w:r>
      <w:r>
        <w:rPr>
          <w:rFonts w:ascii="Times New Roman" w:cs="Times New Roman"/>
          <w:bCs/>
          <w:color w:val="000000" w:themeColor="text1"/>
          <w14:textFill>
            <w14:solidFill>
              <w14:schemeClr w14:val="tx1"/>
            </w14:solidFill>
          </w14:textFill>
        </w:rPr>
        <w:t>年</w:t>
      </w:r>
      <w:r>
        <w:rPr>
          <w:rFonts w:ascii="Times New Roman" w:cs="Times New Roman"/>
          <w:bCs/>
          <w:color w:val="000000" w:themeColor="text1"/>
          <w:u w:val="single"/>
          <w14:textFill>
            <w14:solidFill>
              <w14:schemeClr w14:val="tx1"/>
            </w14:solidFill>
          </w14:textFill>
        </w:rPr>
        <w:t xml:space="preserve">    </w:t>
      </w:r>
      <w:r>
        <w:rPr>
          <w:rFonts w:ascii="Times New Roman" w:cs="Times New Roman"/>
          <w:bCs/>
          <w:color w:val="000000" w:themeColor="text1"/>
          <w14:textFill>
            <w14:solidFill>
              <w14:schemeClr w14:val="tx1"/>
            </w14:solidFill>
          </w14:textFill>
        </w:rPr>
        <w:t>月</w:t>
      </w:r>
      <w:r>
        <w:rPr>
          <w:rFonts w:ascii="Times New Roman" w:cs="Times New Roman"/>
          <w:bCs/>
          <w:color w:val="000000" w:themeColor="text1"/>
          <w:u w:val="single"/>
          <w14:textFill>
            <w14:solidFill>
              <w14:schemeClr w14:val="tx1"/>
            </w14:solidFill>
          </w14:textFill>
        </w:rPr>
        <w:t xml:space="preserve">    </w:t>
      </w:r>
      <w:r>
        <w:rPr>
          <w:rFonts w:ascii="Times New Roman" w:cs="Times New Roman"/>
          <w:bCs/>
          <w:color w:val="000000" w:themeColor="text1"/>
          <w14:textFill>
            <w14:solidFill>
              <w14:schemeClr w14:val="tx1"/>
            </w14:solidFill>
          </w14:textFill>
        </w:rPr>
        <w:t>日</w:t>
      </w:r>
    </w:p>
    <w:p w14:paraId="1D2E7511">
      <w:pPr>
        <w:shd w:val="clear" w:color="auto" w:fill="FFFFFF"/>
        <w:snapToGrid w:val="0"/>
        <w:spacing w:line="360" w:lineRule="exact"/>
        <w:rPr>
          <w:rFonts w:ascii="Times New Roman" w:hAnsi="Times New Roman" w:cs="Times New Roman"/>
          <w:color w:val="000000" w:themeColor="text1"/>
          <w14:textFill>
            <w14:solidFill>
              <w14:schemeClr w14:val="tx1"/>
            </w14:solidFill>
          </w14:textFill>
        </w:rPr>
      </w:pPr>
    </w:p>
    <w:p w14:paraId="2A0314CD">
      <w:pPr>
        <w:shd w:val="clear" w:color="auto" w:fill="FFFFFF"/>
        <w:snapToGrid w:val="0"/>
        <w:spacing w:line="360" w:lineRule="exac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注：按照技术参数要求详细填列。</w:t>
      </w:r>
    </w:p>
    <w:p w14:paraId="09784BD6">
      <w:pPr>
        <w:spacing w:line="360" w:lineRule="auto"/>
        <w:ind w:firstLine="420" w:firstLineChars="200"/>
        <w:rPr>
          <w:rFonts w:ascii="Times New Roman" w:hAnsi="Times New Roman" w:eastAsia="宋体" w:cs="Times New Roman"/>
          <w:color w:val="000000" w:themeColor="text1"/>
          <w:szCs w:val="21"/>
          <w:u w:color="FF0000"/>
          <w14:textFill>
            <w14:solidFill>
              <w14:schemeClr w14:val="tx1"/>
            </w14:solidFill>
          </w14:textFill>
        </w:rPr>
      </w:pPr>
    </w:p>
    <w:p w14:paraId="56C4917F">
      <w:pPr>
        <w:jc w:val="left"/>
        <w:rPr>
          <w:rFonts w:ascii="Times New Roman" w:hAnsi="Times New Roman" w:eastAsia="黑体" w:cs="Times New Roman"/>
          <w:color w:val="000000" w:themeColor="text1"/>
          <w:sz w:val="24"/>
          <w:szCs w:val="24"/>
          <w:u w:color="000000"/>
          <w14:textFill>
            <w14:solidFill>
              <w14:schemeClr w14:val="tx1"/>
            </w14:solidFill>
          </w14:textFill>
        </w:rPr>
      </w:pPr>
      <w:r>
        <w:rPr>
          <w:rFonts w:ascii="Times New Roman" w:hAnsi="Times New Roman" w:eastAsia="黑体" w:cs="Times New Roman"/>
          <w:color w:val="000000" w:themeColor="text1"/>
          <w:sz w:val="24"/>
          <w:szCs w:val="24"/>
          <w:u w:color="000000"/>
          <w14:textFill>
            <w14:solidFill>
              <w14:schemeClr w14:val="tx1"/>
            </w14:solidFill>
          </w14:textFill>
        </w:rPr>
        <w:br w:type="page"/>
      </w:r>
    </w:p>
    <w:p w14:paraId="21BED361">
      <w:pPr>
        <w:tabs>
          <w:tab w:val="left" w:pos="576"/>
        </w:tabs>
        <w:spacing w:before="156" w:beforeLines="50" w:after="156" w:afterLines="50" w:line="360" w:lineRule="auto"/>
        <w:jc w:val="left"/>
        <w:outlineLvl w:val="2"/>
        <w:rPr>
          <w:rFonts w:ascii="Times New Roman" w:hAnsi="Times New Roman" w:eastAsia="黑体" w:cs="Times New Roman"/>
          <w:color w:val="000000" w:themeColor="text1"/>
          <w:sz w:val="24"/>
          <w:szCs w:val="24"/>
          <w:u w:color="000000"/>
          <w14:textFill>
            <w14:solidFill>
              <w14:schemeClr w14:val="tx1"/>
            </w14:solidFill>
          </w14:textFill>
        </w:rPr>
      </w:pPr>
      <w:bookmarkStart w:id="79" w:name="_Toc11859497"/>
      <w:r>
        <w:rPr>
          <w:rFonts w:ascii="Times New Roman" w:hAnsi="Times New Roman" w:eastAsia="黑体" w:cs="Times New Roman"/>
          <w:color w:val="000000" w:themeColor="text1"/>
          <w:sz w:val="24"/>
          <w:szCs w:val="24"/>
          <w:u w:color="000000"/>
          <w14:textFill>
            <w14:solidFill>
              <w14:schemeClr w14:val="tx1"/>
            </w14:solidFill>
          </w14:textFill>
        </w:rPr>
        <w:t xml:space="preserve">6.7 </w:t>
      </w:r>
      <w:bookmarkEnd w:id="79"/>
      <w:bookmarkStart w:id="80" w:name="_Toc11859498"/>
      <w:r>
        <w:rPr>
          <w:rFonts w:hint="eastAsia" w:ascii="Times New Roman" w:hAnsi="Times New Roman" w:eastAsia="黑体" w:cs="Times New Roman"/>
          <w:color w:val="000000" w:themeColor="text1"/>
          <w:sz w:val="24"/>
          <w:szCs w:val="24"/>
          <w:u w:color="000000"/>
          <w14:textFill>
            <w14:solidFill>
              <w14:schemeClr w14:val="tx1"/>
            </w14:solidFill>
          </w14:textFill>
        </w:rPr>
        <w:t>项目技术说明或实施方案</w:t>
      </w:r>
      <w:bookmarkEnd w:id="80"/>
    </w:p>
    <w:p w14:paraId="3C002501">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p>
    <w:p w14:paraId="769379B0">
      <w:pPr>
        <w:pStyle w:val="27"/>
        <w:numPr>
          <w:ilvl w:val="255"/>
          <w:numId w:val="0"/>
        </w:numPr>
        <w:rPr>
          <w:rFonts w:ascii="Times New Roman" w:eastAsia="宋体"/>
          <w:color w:val="000000" w:themeColor="text1"/>
          <w:sz w:val="24"/>
          <w:szCs w:val="24"/>
          <w:u w:color="FF0000"/>
          <w14:textFill>
            <w14:solidFill>
              <w14:schemeClr w14:val="tx1"/>
            </w14:solidFill>
          </w14:textFill>
        </w:rPr>
      </w:pPr>
    </w:p>
    <w:p w14:paraId="7FC311DE">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p>
    <w:p w14:paraId="3B75EFBD">
      <w:pPr>
        <w:jc w:val="left"/>
        <w:rPr>
          <w:rFonts w:ascii="Times New Roman" w:hAnsi="Times New Roman" w:eastAsia="黑体" w:cs="Times New Roman"/>
          <w:color w:val="000000" w:themeColor="text1"/>
          <w:sz w:val="24"/>
          <w:szCs w:val="24"/>
          <w:u w:color="000000"/>
          <w14:textFill>
            <w14:solidFill>
              <w14:schemeClr w14:val="tx1"/>
            </w14:solidFill>
          </w14:textFill>
        </w:rPr>
      </w:pPr>
      <w:r>
        <w:rPr>
          <w:rFonts w:ascii="Times New Roman" w:hAnsi="Times New Roman" w:eastAsia="黑体" w:cs="Times New Roman"/>
          <w:color w:val="000000" w:themeColor="text1"/>
          <w:sz w:val="24"/>
          <w:szCs w:val="24"/>
          <w:u w:color="000000"/>
          <w14:textFill>
            <w14:solidFill>
              <w14:schemeClr w14:val="tx1"/>
            </w14:solidFill>
          </w14:textFill>
        </w:rPr>
        <w:br w:type="page"/>
      </w:r>
    </w:p>
    <w:p w14:paraId="7EE11AB3">
      <w:pPr>
        <w:tabs>
          <w:tab w:val="left" w:pos="576"/>
        </w:tabs>
        <w:spacing w:before="156" w:beforeLines="50" w:after="156" w:afterLines="50" w:line="360" w:lineRule="auto"/>
        <w:outlineLvl w:val="2"/>
        <w:rPr>
          <w:rFonts w:ascii="Times New Roman" w:hAnsi="Times New Roman" w:eastAsia="黑体" w:cs="Times New Roman"/>
          <w:color w:val="000000" w:themeColor="text1"/>
          <w:sz w:val="24"/>
          <w:szCs w:val="24"/>
          <w:u w:color="000000"/>
          <w14:textFill>
            <w14:solidFill>
              <w14:schemeClr w14:val="tx1"/>
            </w14:solidFill>
          </w14:textFill>
        </w:rPr>
      </w:pPr>
      <w:bookmarkStart w:id="81" w:name="_Toc11859499"/>
      <w:r>
        <w:rPr>
          <w:rFonts w:ascii="Times New Roman" w:hAnsi="Times New Roman" w:eastAsia="黑体" w:cs="Times New Roman"/>
          <w:color w:val="000000" w:themeColor="text1"/>
          <w:sz w:val="24"/>
          <w:szCs w:val="24"/>
          <w:u w:color="000000"/>
          <w14:textFill>
            <w14:solidFill>
              <w14:schemeClr w14:val="tx1"/>
            </w14:solidFill>
          </w14:textFill>
        </w:rPr>
        <w:t>6.</w:t>
      </w:r>
      <w:r>
        <w:rPr>
          <w:rFonts w:hint="eastAsia" w:ascii="Times New Roman" w:hAnsi="Times New Roman" w:eastAsia="黑体" w:cs="Times New Roman"/>
          <w:color w:val="000000" w:themeColor="text1"/>
          <w:sz w:val="24"/>
          <w:szCs w:val="24"/>
          <w:u w:color="000000"/>
          <w14:textFill>
            <w14:solidFill>
              <w14:schemeClr w14:val="tx1"/>
            </w14:solidFill>
          </w14:textFill>
        </w:rPr>
        <w:t>8</w:t>
      </w:r>
      <w:r>
        <w:rPr>
          <w:rFonts w:ascii="Times New Roman" w:hAnsi="Times New Roman" w:eastAsia="黑体" w:cs="Times New Roman"/>
          <w:color w:val="000000" w:themeColor="text1"/>
          <w:sz w:val="24"/>
          <w:szCs w:val="24"/>
          <w:u w:color="000000"/>
          <w14:textFill>
            <w14:solidFill>
              <w14:schemeClr w14:val="tx1"/>
            </w14:solidFill>
          </w14:textFill>
        </w:rPr>
        <w:t xml:space="preserve"> </w:t>
      </w:r>
      <w:bookmarkEnd w:id="81"/>
      <w:r>
        <w:rPr>
          <w:rFonts w:hint="eastAsia" w:ascii="Times New Roman" w:hAnsi="Times New Roman" w:eastAsia="黑体" w:cs="Times New Roman"/>
          <w:color w:val="000000" w:themeColor="text1"/>
          <w:sz w:val="24"/>
          <w:szCs w:val="24"/>
          <w:u w:color="000000"/>
          <w14:textFill>
            <w14:solidFill>
              <w14:schemeClr w14:val="tx1"/>
            </w14:solidFill>
          </w14:textFill>
        </w:rPr>
        <w:t>其他所需要的材料</w:t>
      </w:r>
    </w:p>
    <w:p w14:paraId="779CACBF">
      <w:pPr>
        <w:spacing w:line="360" w:lineRule="auto"/>
        <w:ind w:firstLine="420" w:firstLineChars="200"/>
        <w:rPr>
          <w:rFonts w:ascii="Times New Roman" w:hAnsi="Times New Roman" w:eastAsia="宋体" w:cs="Times New Roman"/>
          <w:color w:val="000000" w:themeColor="text1"/>
          <w:szCs w:val="21"/>
          <w:u w:color="FF0000"/>
          <w14:textFill>
            <w14:solidFill>
              <w14:schemeClr w14:val="tx1"/>
            </w14:solidFill>
          </w14:textFill>
        </w:rPr>
      </w:pPr>
    </w:p>
    <w:p w14:paraId="67A12752">
      <w:pPr>
        <w:jc w:val="left"/>
        <w:rPr>
          <w:b/>
          <w:bCs/>
          <w:color w:val="000000" w:themeColor="text1"/>
          <w14:textFill>
            <w14:solidFill>
              <w14:schemeClr w14:val="tx1"/>
            </w14:solidFill>
          </w14:textFill>
        </w:rPr>
      </w:pPr>
      <w:r>
        <w:rPr>
          <w:b/>
          <w:bCs/>
          <w:color w:val="000000" w:themeColor="text1"/>
          <w14:textFill>
            <w14:solidFill>
              <w14:schemeClr w14:val="tx1"/>
            </w14:solidFill>
          </w14:textFill>
        </w:rPr>
        <w:br w:type="page"/>
      </w:r>
    </w:p>
    <w:p w14:paraId="48EFA0C5">
      <w:pPr>
        <w:pStyle w:val="11"/>
        <w:kinsoku w:val="0"/>
        <w:overflowPunct w:val="0"/>
        <w:spacing w:before="7"/>
        <w:ind w:right="103" w:firstLine="402"/>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投标人</w:t>
      </w:r>
      <w:r>
        <w:rPr>
          <w:b/>
          <w:bCs/>
          <w:color w:val="000000" w:themeColor="text1"/>
          <w14:textFill>
            <w14:solidFill>
              <w14:schemeClr w14:val="tx1"/>
            </w14:solidFill>
          </w14:textFill>
        </w:rPr>
        <w:t>若符合相关要求，请提供</w:t>
      </w:r>
      <w:r>
        <w:rPr>
          <w:rFonts w:hint="eastAsia"/>
          <w:b/>
          <w:bCs/>
          <w:color w:val="000000" w:themeColor="text1"/>
          <w14:textFill>
            <w14:solidFill>
              <w14:schemeClr w14:val="tx1"/>
            </w14:solidFill>
          </w14:textFill>
        </w:rPr>
        <w:t>企业声明函。</w:t>
      </w:r>
    </w:p>
    <w:p w14:paraId="5F516C86">
      <w:pPr>
        <w:pStyle w:val="11"/>
        <w:kinsoku w:val="0"/>
        <w:overflowPunct w:val="0"/>
        <w:spacing w:before="7"/>
        <w:ind w:right="103" w:firstLine="402"/>
        <w:rPr>
          <w:color w:val="000000" w:themeColor="text1"/>
          <w14:textFill>
            <w14:solidFill>
              <w14:schemeClr w14:val="tx1"/>
            </w14:solidFill>
          </w14:textFill>
        </w:rPr>
      </w:pPr>
      <w:r>
        <w:rPr>
          <w:rFonts w:hint="eastAsia"/>
          <w:b/>
          <w:bCs/>
          <w:color w:val="000000" w:themeColor="text1"/>
          <w14:textFill>
            <w14:solidFill>
              <w14:schemeClr w14:val="tx1"/>
            </w14:solidFill>
          </w14:textFill>
        </w:rPr>
        <w:t>企业声明函格式</w:t>
      </w:r>
    </w:p>
    <w:p w14:paraId="0F8F38BB">
      <w:pPr>
        <w:jc w:val="center"/>
        <w:rPr>
          <w:rFonts w:ascii="宋体" w:hAnsi="宋体" w:eastAsia="宋体" w:cs="方正小标宋简体"/>
          <w:sz w:val="32"/>
          <w:szCs w:val="32"/>
        </w:rPr>
      </w:pPr>
      <w:r>
        <w:rPr>
          <w:rFonts w:hint="eastAsia" w:ascii="宋体" w:hAnsi="宋体" w:eastAsia="宋体" w:cs="方正小标宋简体"/>
          <w:sz w:val="32"/>
          <w:szCs w:val="32"/>
        </w:rPr>
        <w:t>中小企业声明函（服务）</w:t>
      </w:r>
    </w:p>
    <w:p w14:paraId="54AE1A31">
      <w:pPr>
        <w:adjustRightInd w:val="0"/>
        <w:snapToGrid w:val="0"/>
        <w:spacing w:line="360" w:lineRule="auto"/>
        <w:ind w:firstLine="360" w:firstLineChars="150"/>
        <w:rPr>
          <w:rFonts w:ascii="宋体" w:hAnsi="宋体"/>
          <w:sz w:val="24"/>
        </w:rPr>
      </w:pPr>
      <w:r>
        <w:rPr>
          <w:rFonts w:hint="eastAsia" w:ascii="宋体" w:hAnsi="宋体"/>
          <w:sz w:val="24"/>
        </w:rPr>
        <w:t>本公司（联合体）郑重声明，根据《政府采购促进中小企业发展管理办法》</w:t>
      </w:r>
      <w:r>
        <w:rPr>
          <w:rFonts w:hint="eastAsia" w:ascii="宋体" w:hAnsi="宋体"/>
          <w:sz w:val="24"/>
          <w:lang w:eastAsia="zh-CN"/>
        </w:rPr>
        <w:t>（</w:t>
      </w:r>
      <w:r>
        <w:rPr>
          <w:rFonts w:hint="eastAsia" w:ascii="宋体" w:hAnsi="宋体"/>
          <w:sz w:val="24"/>
        </w:rPr>
        <w:t>财库〔2020〕46号)的规定，本公司（联合体）参加</w:t>
      </w:r>
      <w:r>
        <w:rPr>
          <w:rFonts w:hint="eastAsia" w:ascii="宋体" w:hAnsi="宋体"/>
          <w:sz w:val="24"/>
          <w:u w:val="single"/>
        </w:rPr>
        <w:t>XXXXXXXXXXXXXXXXXXX</w:t>
      </w:r>
      <w:r>
        <w:rPr>
          <w:rFonts w:hint="eastAsia" w:ascii="宋体" w:hAnsi="宋体"/>
          <w:sz w:val="24"/>
        </w:rPr>
        <w:t>（单位名称）采购编号为</w:t>
      </w:r>
      <w:r>
        <w:rPr>
          <w:rFonts w:hint="eastAsia" w:ascii="宋体" w:hAnsi="宋体"/>
          <w:sz w:val="24"/>
          <w:u w:val="single"/>
        </w:rPr>
        <w:t>JSZC-3201XX-JZCG-G202X-XXXX</w:t>
      </w:r>
      <w:r>
        <w:rPr>
          <w:rFonts w:hint="eastAsia" w:ascii="宋体" w:hAnsi="宋体"/>
          <w:sz w:val="24"/>
        </w:rPr>
        <w:t>项目（分包号：</w:t>
      </w:r>
      <w:r>
        <w:rPr>
          <w:rFonts w:hint="eastAsia" w:ascii="宋体" w:hAnsi="宋体"/>
          <w:sz w:val="24"/>
          <w:u w:val="single"/>
        </w:rPr>
        <w:t>XXX</w:t>
      </w:r>
      <w:r>
        <w:rPr>
          <w:rFonts w:hint="eastAsia" w:ascii="宋体" w:hAnsi="宋体"/>
          <w:sz w:val="24"/>
        </w:rPr>
        <w:t>）的采购活动，服务全部由符合政策要求的中小企业制造。根据《工业和信息化部、国家统计局、国家发展和改革委员会、财政部关于印发中小企业划型标准规定的通知》</w:t>
      </w:r>
      <w:r>
        <w:rPr>
          <w:rFonts w:hint="eastAsia" w:ascii="宋体" w:hAnsi="宋体"/>
          <w:sz w:val="24"/>
          <w:lang w:eastAsia="zh-CN"/>
        </w:rPr>
        <w:t>（</w:t>
      </w:r>
      <w:r>
        <w:rPr>
          <w:rFonts w:hint="eastAsia" w:ascii="宋体" w:hAnsi="宋体"/>
          <w:sz w:val="24"/>
        </w:rPr>
        <w:t>工信部联企业</w:t>
      </w:r>
      <w:r>
        <w:rPr>
          <w:rFonts w:hint="eastAsia" w:ascii="仿宋_GB2312" w:hAnsi="仿宋_GB2312" w:eastAsia="仿宋_GB2312" w:cs="仿宋_GB2312"/>
          <w:sz w:val="24"/>
        </w:rPr>
        <w:t>〔</w:t>
      </w:r>
      <w:r>
        <w:rPr>
          <w:rFonts w:hint="eastAsia" w:ascii="宋体" w:hAnsi="宋体"/>
          <w:sz w:val="24"/>
        </w:rPr>
        <w:t>2011</w:t>
      </w:r>
      <w:r>
        <w:rPr>
          <w:rFonts w:hint="eastAsia" w:ascii="仿宋_GB2312" w:hAnsi="仿宋_GB2312" w:eastAsia="仿宋_GB2312" w:cs="仿宋_GB2312"/>
          <w:sz w:val="24"/>
        </w:rPr>
        <w:t>〕</w:t>
      </w:r>
      <w:r>
        <w:rPr>
          <w:rFonts w:hint="eastAsia" w:ascii="宋体" w:hAnsi="宋体"/>
          <w:sz w:val="24"/>
        </w:rPr>
        <w:t>300号)的规定，相关企业（含联合体中的小微企业、签订分包意向协议的小微企业）的具体情况如下：</w:t>
      </w:r>
    </w:p>
    <w:p w14:paraId="7F7C9613">
      <w:pPr>
        <w:adjustRightInd w:val="0"/>
        <w:snapToGrid w:val="0"/>
        <w:spacing w:line="360" w:lineRule="auto"/>
        <w:ind w:firstLine="360" w:firstLineChars="150"/>
        <w:rPr>
          <w:rFonts w:ascii="宋体" w:hAnsi="宋体"/>
          <w:i/>
          <w:sz w:val="24"/>
          <w:u w:val="single"/>
        </w:rPr>
      </w:pPr>
      <w:r>
        <w:rPr>
          <w:rFonts w:hint="eastAsia" w:ascii="宋体" w:hAnsi="宋体"/>
          <w:sz w:val="24"/>
        </w:rPr>
        <w:t>1.</w:t>
      </w:r>
      <w:r>
        <w:rPr>
          <w:rFonts w:hint="eastAsia" w:ascii="宋体" w:hAnsi="宋体"/>
          <w:sz w:val="24"/>
          <w:u w:val="single"/>
        </w:rPr>
        <w:t xml:space="preserve">      </w:t>
      </w:r>
      <w:r>
        <w:rPr>
          <w:rFonts w:hint="eastAsia" w:ascii="宋体" w:hAnsi="宋体"/>
          <w:sz w:val="24"/>
        </w:rPr>
        <w:t>（标的名称）属于</w:t>
      </w:r>
      <w:r>
        <w:rPr>
          <w:rFonts w:hint="eastAsia" w:ascii="宋体" w:hAnsi="宋体"/>
          <w:sz w:val="24"/>
          <w:u w:val="single"/>
        </w:rPr>
        <w:t xml:space="preserve">      </w:t>
      </w:r>
      <w:r>
        <w:rPr>
          <w:rFonts w:hint="eastAsia" w:ascii="宋体" w:hAnsi="宋体"/>
          <w:sz w:val="24"/>
        </w:rPr>
        <w:t>行业（采购文件中明确的所属行业）；制造商为</w:t>
      </w:r>
      <w:r>
        <w:rPr>
          <w:rFonts w:hint="eastAsia" w:ascii="宋体" w:hAnsi="宋体"/>
          <w:sz w:val="24"/>
          <w:u w:val="single"/>
        </w:rPr>
        <w:t xml:space="preserve">      </w:t>
      </w:r>
      <w:r>
        <w:rPr>
          <w:rFonts w:hint="eastAsia" w:ascii="宋体" w:hAnsi="宋体"/>
          <w:sz w:val="24"/>
        </w:rPr>
        <w:t>（企业名称），从业人员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hint="eastAsia" w:ascii="宋体" w:hAnsi="宋体"/>
          <w:sz w:val="24"/>
        </w:rPr>
        <w:t>万元</w:t>
      </w:r>
      <w:r>
        <w:rPr>
          <w:rFonts w:hint="eastAsia" w:ascii="宋体" w:hAnsi="宋体"/>
          <w:sz w:val="24"/>
          <w:vertAlign w:val="superscript"/>
        </w:rPr>
        <w:t>1</w:t>
      </w:r>
      <w:r>
        <w:rPr>
          <w:rFonts w:hint="eastAsia" w:ascii="宋体" w:hAnsi="宋体"/>
          <w:sz w:val="24"/>
        </w:rPr>
        <w:t>，属于</w:t>
      </w:r>
      <w:r>
        <w:rPr>
          <w:rFonts w:hint="eastAsia" w:ascii="宋体" w:hAnsi="宋体"/>
          <w:sz w:val="24"/>
        </w:rPr>
        <w:sym w:font="Wingdings" w:char="00A8"/>
      </w:r>
      <w:r>
        <w:rPr>
          <w:rFonts w:hint="eastAsia" w:ascii="宋体" w:hAnsi="宋体"/>
          <w:sz w:val="24"/>
        </w:rPr>
        <w:t xml:space="preserve">中型企业 </w:t>
      </w:r>
      <w:r>
        <w:rPr>
          <w:rFonts w:hint="eastAsia" w:ascii="宋体" w:hAnsi="宋体"/>
          <w:sz w:val="24"/>
        </w:rPr>
        <w:sym w:font="Wingdings" w:char="00A8"/>
      </w:r>
      <w:r>
        <w:rPr>
          <w:rFonts w:hint="eastAsia" w:ascii="宋体" w:hAnsi="宋体"/>
          <w:sz w:val="24"/>
        </w:rPr>
        <w:t xml:space="preserve">小型企业 </w:t>
      </w:r>
      <w:r>
        <w:rPr>
          <w:rFonts w:hint="eastAsia" w:ascii="宋体" w:hAnsi="宋体"/>
          <w:sz w:val="24"/>
        </w:rPr>
        <w:sym w:font="Wingdings" w:char="00A8"/>
      </w:r>
      <w:r>
        <w:rPr>
          <w:rFonts w:hint="eastAsia" w:ascii="宋体" w:hAnsi="宋体"/>
          <w:sz w:val="24"/>
        </w:rPr>
        <w:t>微型企业。</w:t>
      </w:r>
    </w:p>
    <w:p w14:paraId="5F275079">
      <w:pPr>
        <w:adjustRightInd w:val="0"/>
        <w:snapToGrid w:val="0"/>
        <w:spacing w:line="360" w:lineRule="auto"/>
        <w:ind w:firstLine="360" w:firstLineChars="150"/>
        <w:rPr>
          <w:rFonts w:ascii="宋体" w:hAnsi="宋体"/>
          <w:i/>
          <w:sz w:val="24"/>
        </w:rPr>
      </w:pPr>
      <w:r>
        <w:rPr>
          <w:rFonts w:hint="eastAsia" w:ascii="宋体" w:hAnsi="宋体"/>
          <w:sz w:val="24"/>
        </w:rPr>
        <w:t>2.</w:t>
      </w:r>
      <w:r>
        <w:rPr>
          <w:rFonts w:hint="eastAsia" w:ascii="宋体" w:hAnsi="宋体"/>
          <w:sz w:val="24"/>
          <w:u w:val="single"/>
        </w:rPr>
        <w:t xml:space="preserve">      </w:t>
      </w:r>
      <w:r>
        <w:rPr>
          <w:rFonts w:hint="eastAsia" w:ascii="宋体" w:hAnsi="宋体"/>
          <w:sz w:val="24"/>
        </w:rPr>
        <w:t>（标的名称）属于</w:t>
      </w:r>
      <w:r>
        <w:rPr>
          <w:rFonts w:hint="eastAsia" w:ascii="宋体" w:hAnsi="宋体"/>
          <w:sz w:val="24"/>
          <w:u w:val="single"/>
        </w:rPr>
        <w:t xml:space="preserve">      </w:t>
      </w:r>
      <w:r>
        <w:rPr>
          <w:rFonts w:hint="eastAsia" w:ascii="宋体" w:hAnsi="宋体"/>
          <w:sz w:val="24"/>
        </w:rPr>
        <w:t>行业（采购文件中明确的所属行业）；制造商为</w:t>
      </w:r>
      <w:r>
        <w:rPr>
          <w:rFonts w:hint="eastAsia" w:ascii="宋体" w:hAnsi="宋体"/>
          <w:sz w:val="24"/>
          <w:u w:val="single"/>
        </w:rPr>
        <w:t xml:space="preserve">      </w:t>
      </w:r>
      <w:r>
        <w:rPr>
          <w:rFonts w:hint="eastAsia" w:ascii="宋体" w:hAnsi="宋体"/>
          <w:sz w:val="24"/>
        </w:rPr>
        <w:t>（企业名称），从业人员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 xml:space="preserve">      </w:t>
      </w:r>
      <w:r>
        <w:rPr>
          <w:rFonts w:hint="eastAsia" w:ascii="宋体" w:hAnsi="宋体"/>
          <w:sz w:val="24"/>
        </w:rPr>
        <w:t>万元，资产总额为</w:t>
      </w:r>
      <w:r>
        <w:rPr>
          <w:rFonts w:hint="eastAsia" w:ascii="宋体" w:hAnsi="宋体"/>
          <w:sz w:val="24"/>
          <w:u w:val="single"/>
        </w:rPr>
        <w:t xml:space="preserve">      </w:t>
      </w:r>
      <w:r>
        <w:rPr>
          <w:rFonts w:hint="eastAsia" w:ascii="宋体" w:hAnsi="宋体"/>
          <w:sz w:val="24"/>
        </w:rPr>
        <w:t>万元</w:t>
      </w:r>
      <w:r>
        <w:rPr>
          <w:rFonts w:hint="eastAsia" w:ascii="宋体" w:hAnsi="宋体"/>
          <w:sz w:val="24"/>
          <w:vertAlign w:val="superscript"/>
        </w:rPr>
        <w:t>1</w:t>
      </w:r>
      <w:r>
        <w:rPr>
          <w:rFonts w:hint="eastAsia" w:ascii="宋体" w:hAnsi="宋体"/>
          <w:sz w:val="24"/>
        </w:rPr>
        <w:t>，属于</w:t>
      </w:r>
      <w:r>
        <w:rPr>
          <w:rFonts w:hint="eastAsia" w:ascii="宋体" w:hAnsi="宋体"/>
          <w:sz w:val="24"/>
        </w:rPr>
        <w:sym w:font="Wingdings" w:char="00A8"/>
      </w:r>
      <w:r>
        <w:rPr>
          <w:rFonts w:hint="eastAsia" w:ascii="宋体" w:hAnsi="宋体"/>
          <w:sz w:val="24"/>
        </w:rPr>
        <w:t xml:space="preserve">中型企业 </w:t>
      </w:r>
      <w:r>
        <w:rPr>
          <w:rFonts w:hint="eastAsia" w:ascii="宋体" w:hAnsi="宋体"/>
          <w:sz w:val="24"/>
        </w:rPr>
        <w:sym w:font="Wingdings" w:char="00A8"/>
      </w:r>
      <w:r>
        <w:rPr>
          <w:rFonts w:hint="eastAsia" w:ascii="宋体" w:hAnsi="宋体"/>
          <w:sz w:val="24"/>
        </w:rPr>
        <w:t xml:space="preserve">小型企业 </w:t>
      </w:r>
      <w:r>
        <w:rPr>
          <w:rFonts w:hint="eastAsia" w:ascii="宋体" w:hAnsi="宋体"/>
          <w:sz w:val="24"/>
        </w:rPr>
        <w:sym w:font="Wingdings" w:char="00A8"/>
      </w:r>
      <w:r>
        <w:rPr>
          <w:rFonts w:hint="eastAsia" w:ascii="宋体" w:hAnsi="宋体"/>
          <w:sz w:val="24"/>
        </w:rPr>
        <w:t>微型企业。</w:t>
      </w:r>
    </w:p>
    <w:p w14:paraId="41A2BE0E">
      <w:pPr>
        <w:adjustRightInd w:val="0"/>
        <w:snapToGrid w:val="0"/>
        <w:spacing w:line="360" w:lineRule="auto"/>
        <w:ind w:firstLine="360" w:firstLineChars="150"/>
        <w:rPr>
          <w:rFonts w:ascii="宋体" w:hAnsi="宋体"/>
          <w:sz w:val="24"/>
        </w:rPr>
      </w:pPr>
      <w:r>
        <w:rPr>
          <w:rFonts w:hint="eastAsia" w:ascii="宋体" w:hAnsi="宋体"/>
          <w:sz w:val="24"/>
        </w:rPr>
        <w:t>……</w:t>
      </w:r>
    </w:p>
    <w:p w14:paraId="5F822F58">
      <w:pPr>
        <w:adjustRightInd w:val="0"/>
        <w:snapToGrid w:val="0"/>
        <w:spacing w:line="360" w:lineRule="auto"/>
        <w:ind w:firstLine="360" w:firstLineChars="150"/>
        <w:rPr>
          <w:rFonts w:ascii="宋体" w:hAnsi="宋体"/>
          <w:sz w:val="24"/>
        </w:rPr>
      </w:pPr>
      <w:r>
        <w:rPr>
          <w:rFonts w:hint="eastAsia" w:ascii="宋体" w:hAnsi="宋体"/>
          <w:sz w:val="24"/>
        </w:rPr>
        <w:t>以上企业，不属于大企业的分支机构，不存在控股股东为大企业的情形，也不存在与大企业的负责人为同一人的情形。</w:t>
      </w:r>
    </w:p>
    <w:p w14:paraId="3D40CEBF">
      <w:pPr>
        <w:adjustRightInd w:val="0"/>
        <w:snapToGrid w:val="0"/>
        <w:spacing w:line="360" w:lineRule="auto"/>
        <w:ind w:firstLine="360" w:firstLineChars="150"/>
        <w:rPr>
          <w:rFonts w:ascii="宋体" w:hAnsi="宋体"/>
          <w:sz w:val="24"/>
        </w:rPr>
      </w:pPr>
      <w:r>
        <w:rPr>
          <w:rFonts w:hint="eastAsia" w:ascii="宋体" w:hAnsi="宋体"/>
          <w:sz w:val="24"/>
        </w:rPr>
        <w:t>本企业对上述声明内容的真实性负责，如有虚假，将依法承担相应责任。</w:t>
      </w:r>
    </w:p>
    <w:p w14:paraId="41083F76">
      <w:pPr>
        <w:pStyle w:val="140"/>
        <w:rPr>
          <w:rFonts w:ascii="宋体" w:hAnsi="宋体"/>
          <w:sz w:val="24"/>
          <w:szCs w:val="24"/>
        </w:rPr>
      </w:pPr>
    </w:p>
    <w:p w14:paraId="05E4C32B"/>
    <w:p w14:paraId="76F70BFE">
      <w:pPr>
        <w:spacing w:line="560" w:lineRule="exact"/>
        <w:ind w:right="180" w:firstLine="360" w:firstLineChars="150"/>
        <w:jc w:val="center"/>
        <w:rPr>
          <w:rFonts w:ascii="宋体" w:hAnsi="宋体"/>
          <w:sz w:val="24"/>
        </w:rPr>
      </w:pPr>
      <w:r>
        <w:rPr>
          <w:rFonts w:hint="eastAsia" w:ascii="宋体" w:hAnsi="宋体"/>
          <w:sz w:val="24"/>
        </w:rPr>
        <w:t xml:space="preserve">                                           企业名称：（加盖</w:t>
      </w:r>
      <w:r>
        <w:rPr>
          <w:rFonts w:hint="eastAsia" w:ascii="宋体" w:hAnsi="宋体"/>
          <w:sz w:val="24"/>
          <w:lang w:eastAsia="zh-CN"/>
        </w:rPr>
        <w:t>CA公章</w:t>
      </w:r>
      <w:r>
        <w:rPr>
          <w:rFonts w:hint="eastAsia" w:ascii="宋体" w:hAnsi="宋体"/>
          <w:sz w:val="24"/>
        </w:rPr>
        <w:t>）</w:t>
      </w:r>
    </w:p>
    <w:p w14:paraId="002DBFFF">
      <w:pPr>
        <w:spacing w:line="560" w:lineRule="exact"/>
        <w:ind w:firstLine="6000" w:firstLineChars="2500"/>
        <w:rPr>
          <w:rFonts w:ascii="宋体" w:hAnsi="宋体"/>
          <w:sz w:val="24"/>
        </w:rPr>
      </w:pPr>
      <w:r>
        <w:rPr>
          <w:rFonts w:hint="eastAsia"/>
          <w:color w:val="000000"/>
          <w:sz w:val="24"/>
        </w:rPr>
        <w:t>日    期：</w:t>
      </w:r>
    </w:p>
    <w:p w14:paraId="2BFEE791">
      <w:pPr>
        <w:widowControl/>
        <w:spacing w:line="588" w:lineRule="exact"/>
        <w:ind w:firstLine="480" w:firstLineChars="200"/>
        <w:rPr>
          <w:rFonts w:ascii="宋体" w:hAnsi="宋体"/>
          <w:sz w:val="24"/>
        </w:rPr>
      </w:pPr>
    </w:p>
    <w:p w14:paraId="3230DB41">
      <w:pPr>
        <w:pStyle w:val="11"/>
        <w:kinsoku w:val="0"/>
        <w:overflowPunct w:val="0"/>
        <w:spacing w:after="0" w:line="360" w:lineRule="auto"/>
        <w:ind w:right="437"/>
        <w:rPr>
          <w:color w:val="000000" w:themeColor="text1"/>
          <w14:textFill>
            <w14:solidFill>
              <w14:schemeClr w14:val="tx1"/>
            </w14:solidFill>
          </w14:textFill>
        </w:rPr>
      </w:pPr>
      <w:r>
        <w:rPr>
          <w:rFonts w:hint="eastAsia" w:ascii="宋体" w:hAnsi="宋体"/>
          <w:sz w:val="24"/>
        </w:rPr>
        <w:t>备注：1.从业人员、营业收入、资产总额填报上一年度数据，无上一年度数据的新成立企业可不填报。2.在所属企业类型</w:t>
      </w:r>
      <w:r>
        <w:rPr>
          <w:rFonts w:hint="eastAsia" w:ascii="宋体" w:hAnsi="宋体"/>
          <w:sz w:val="24"/>
          <w:lang w:eastAsia="zh-CN"/>
        </w:rPr>
        <w:t>前</w:t>
      </w:r>
      <w:r>
        <w:rPr>
          <w:rFonts w:hint="eastAsia" w:ascii="宋体" w:hAnsi="宋体"/>
          <w:sz w:val="24"/>
        </w:rPr>
        <w:sym w:font="Wingdings" w:char="00A8"/>
      </w:r>
      <w:r>
        <w:rPr>
          <w:rFonts w:hint="eastAsia" w:ascii="宋体" w:hAnsi="宋体"/>
          <w:sz w:val="24"/>
        </w:rPr>
        <w:t>内打“</w:t>
      </w:r>
      <w:r>
        <w:rPr>
          <w:rFonts w:ascii="Arial" w:hAnsi="Arial" w:cs="Arial"/>
          <w:sz w:val="24"/>
        </w:rPr>
        <w:t>√</w:t>
      </w:r>
      <w:r>
        <w:rPr>
          <w:rFonts w:hint="eastAsia" w:ascii="宋体" w:hAnsi="宋体"/>
          <w:sz w:val="24"/>
        </w:rPr>
        <w:t>”。3.投标人如不提供此声明函，不得参加专门面向中小企业采购项目或者不得享受小微企业价格扣除政策。此声明函将随成交结果同时公告，接受社会监督。4.服务采购项目中，服务的承接商应当为中小企业，不对其中涉及的货物的制造商、工程的承建商作出要求。</w:t>
      </w:r>
    </w:p>
    <w:p w14:paraId="6CAD6F15">
      <w:pPr>
        <w:pStyle w:val="11"/>
        <w:kinsoku w:val="0"/>
        <w:overflowPunct w:val="0"/>
        <w:spacing w:after="0" w:line="360" w:lineRule="auto"/>
        <w:ind w:left="4111" w:right="437" w:firstLine="403"/>
        <w:rPr>
          <w:color w:val="000000" w:themeColor="text1"/>
          <w14:textFill>
            <w14:solidFill>
              <w14:schemeClr w14:val="tx1"/>
            </w14:solidFill>
          </w14:textFill>
        </w:rPr>
      </w:pPr>
    </w:p>
    <w:p w14:paraId="5379D42D">
      <w:pPr>
        <w:pStyle w:val="11"/>
        <w:kinsoku w:val="0"/>
        <w:overflowPunct w:val="0"/>
        <w:spacing w:after="0" w:line="360" w:lineRule="auto"/>
        <w:ind w:left="4111" w:right="437" w:firstLine="403"/>
        <w:rPr>
          <w:color w:val="000000" w:themeColor="text1"/>
          <w14:textFill>
            <w14:solidFill>
              <w14:schemeClr w14:val="tx1"/>
            </w14:solidFill>
          </w14:textFill>
        </w:rPr>
      </w:pPr>
    </w:p>
    <w:p w14:paraId="55DE690D">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4BF6036F">
      <w:pPr>
        <w:pStyle w:val="11"/>
        <w:kinsoku w:val="0"/>
        <w:overflowPunct w:val="0"/>
        <w:spacing w:after="0" w:line="360" w:lineRule="auto"/>
        <w:ind w:left="4111" w:right="437" w:firstLine="403"/>
        <w:rPr>
          <w:color w:val="000000" w:themeColor="text1"/>
          <w14:textFill>
            <w14:solidFill>
              <w14:schemeClr w14:val="tx1"/>
            </w14:solidFill>
          </w14:textFill>
        </w:rPr>
      </w:pPr>
    </w:p>
    <w:p w14:paraId="3A00F696">
      <w:pPr>
        <w:jc w:val="center"/>
        <w:rPr>
          <w:rFonts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14:textFill>
            <w14:solidFill>
              <w14:schemeClr w14:val="tx1"/>
            </w14:solidFill>
          </w14:textFill>
        </w:rPr>
        <w:t>残疾人福利性单位声明函</w:t>
      </w:r>
    </w:p>
    <w:p w14:paraId="6671DCE0">
      <w:pPr>
        <w:pStyle w:val="11"/>
        <w:tabs>
          <w:tab w:val="left" w:pos="2009"/>
          <w:tab w:val="left" w:pos="3547"/>
        </w:tabs>
        <w:kinsoku w:val="0"/>
        <w:overflowPunct w:val="0"/>
        <w:spacing w:after="0" w:line="360" w:lineRule="auto"/>
        <w:ind w:firstLine="388" w:firstLineChars="200"/>
        <w:rPr>
          <w:rFonts w:ascii="Times New Roman" w:hAnsi="Times New Roman" w:cs="Times New Roman"/>
          <w:color w:val="000000" w:themeColor="text1"/>
          <w:spacing w:val="-5"/>
          <w14:textFill>
            <w14:solidFill>
              <w14:schemeClr w14:val="tx1"/>
            </w14:solidFill>
          </w14:textFill>
        </w:rPr>
      </w:pPr>
      <w:r>
        <w:rPr>
          <w:rFonts w:ascii="Times New Roman" w:hAnsi="Times New Roman" w:cs="Times New Roman"/>
          <w:color w:val="000000" w:themeColor="text1"/>
          <w:spacing w:val="-8"/>
          <w14:textFill>
            <w14:solidFill>
              <w14:schemeClr w14:val="tx1"/>
            </w14:solidFill>
          </w14:textFill>
        </w:rPr>
        <w:t xml:space="preserve">本单位郑重声明，根据《财政部 </w:t>
      </w:r>
      <w:r>
        <w:rPr>
          <w:rFonts w:ascii="Times New Roman" w:hAnsi="Times New Roman" w:cs="Times New Roman"/>
          <w:color w:val="000000" w:themeColor="text1"/>
          <w14:textFill>
            <w14:solidFill>
              <w14:schemeClr w14:val="tx1"/>
            </w14:solidFill>
          </w14:textFill>
        </w:rPr>
        <w:t>民政部</w:t>
      </w:r>
      <w:r>
        <w:rPr>
          <w:rFonts w:ascii="Times New Roman" w:hAnsi="Times New Roman" w:cs="Times New Roman"/>
          <w:color w:val="000000" w:themeColor="text1"/>
          <w:spacing w:val="17"/>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中国残疾人联合会关于促进残疾人就业政府采</w:t>
      </w:r>
      <w:r>
        <w:rPr>
          <w:rFonts w:ascii="Times New Roman" w:hAnsi="Times New Roman" w:cs="Times New Roman"/>
          <w:color w:val="000000" w:themeColor="text1"/>
          <w:spacing w:val="-3"/>
          <w14:textFill>
            <w14:solidFill>
              <w14:schemeClr w14:val="tx1"/>
            </w14:solidFill>
          </w14:textFill>
        </w:rPr>
        <w:t>购政策的通知》（财库〔2017〕</w:t>
      </w:r>
      <w:r>
        <w:rPr>
          <w:rFonts w:ascii="Times New Roman" w:hAnsi="Times New Roman" w:cs="Times New Roman"/>
          <w:color w:val="000000" w:themeColor="text1"/>
          <w14:textFill>
            <w14:solidFill>
              <w14:schemeClr w14:val="tx1"/>
            </w14:solidFill>
          </w14:textFill>
        </w:rPr>
        <w:t>141</w:t>
      </w:r>
      <w:r>
        <w:rPr>
          <w:rFonts w:ascii="Times New Roman" w:hAnsi="Times New Roman" w:cs="Times New Roman"/>
          <w:color w:val="000000" w:themeColor="text1"/>
          <w:spacing w:val="-48"/>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号）的规定，本单位为符合条件的残疾人福利性单位，</w:t>
      </w:r>
      <w:r>
        <w:rPr>
          <w:rFonts w:ascii="Times New Roman" w:hAnsi="Times New Roman" w:cs="Times New Roman"/>
          <w:color w:val="000000" w:themeColor="text1"/>
          <w:spacing w:val="-2"/>
          <w14:textFill>
            <w14:solidFill>
              <w14:schemeClr w14:val="tx1"/>
            </w14:solidFill>
          </w14:textFill>
        </w:rPr>
        <w:t>且本单位参加</w:t>
      </w:r>
      <w:r>
        <w:rPr>
          <w:rFonts w:ascii="Times New Roman" w:hAnsi="Times New Roman" w:cs="Times New Roman"/>
          <w:color w:val="000000" w:themeColor="text1"/>
          <w:spacing w:val="-2"/>
          <w:u w:val="single"/>
          <w14:textFill>
            <w14:solidFill>
              <w14:schemeClr w14:val="tx1"/>
            </w14:solidFill>
          </w14:textFill>
        </w:rPr>
        <w:tab/>
      </w:r>
      <w:r>
        <w:rPr>
          <w:rFonts w:ascii="Times New Roman" w:hAnsi="Times New Roman" w:cs="Times New Roman"/>
          <w:color w:val="000000" w:themeColor="text1"/>
          <w:spacing w:val="-1"/>
          <w14:textFill>
            <w14:solidFill>
              <w14:schemeClr w14:val="tx1"/>
            </w14:solidFill>
          </w14:textFill>
        </w:rPr>
        <w:t>单位的</w:t>
      </w:r>
      <w:r>
        <w:rPr>
          <w:rFonts w:ascii="Times New Roman" w:hAnsi="Times New Roman" w:cs="Times New Roman"/>
          <w:color w:val="000000" w:themeColor="text1"/>
          <w:spacing w:val="-1"/>
          <w:u w:val="single"/>
          <w14:textFill>
            <w14:solidFill>
              <w14:schemeClr w14:val="tx1"/>
            </w14:solidFill>
          </w14:textFill>
        </w:rPr>
        <w:tab/>
      </w:r>
      <w:r>
        <w:rPr>
          <w:rFonts w:ascii="Times New Roman" w:hAnsi="Times New Roman" w:cs="Times New Roman"/>
          <w:color w:val="000000" w:themeColor="text1"/>
          <w:spacing w:val="-5"/>
          <w14:textFill>
            <w14:solidFill>
              <w14:schemeClr w14:val="tx1"/>
            </w14:solidFill>
          </w14:textFill>
        </w:rPr>
        <w:t>项目采购活动提供本单位制造的货物（由本单位承担工程</w:t>
      </w:r>
    </w:p>
    <w:p w14:paraId="2A0012EB">
      <w:pPr>
        <w:pStyle w:val="11"/>
        <w:kinsoku w:val="0"/>
        <w:overflowPunct w:val="0"/>
        <w:spacing w:after="0" w:line="360" w:lineRule="auto"/>
        <w:ind w:firstLine="412"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spacing w:val="-2"/>
          <w14:textFill>
            <w14:solidFill>
              <w14:schemeClr w14:val="tx1"/>
            </w14:solidFill>
          </w14:textFill>
        </w:rPr>
        <w:t>/提供服务），或者提供其他残疾人福利性单位制造的货物（不包括使用非残疾人福利性单</w:t>
      </w:r>
      <w:r>
        <w:rPr>
          <w:rFonts w:ascii="Times New Roman" w:hAnsi="Times New Roman" w:cs="Times New Roman"/>
          <w:color w:val="000000" w:themeColor="text1"/>
          <w:spacing w:val="-32"/>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位注册商标的货物）。</w:t>
      </w:r>
    </w:p>
    <w:p w14:paraId="43228EF5">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本单位对上述声明的真实性负责。如有虚假，将依法承担相应责任。</w:t>
      </w:r>
    </w:p>
    <w:p w14:paraId="00669319">
      <w:pPr>
        <w:pStyle w:val="11"/>
        <w:kinsoku w:val="0"/>
        <w:overflowPunct w:val="0"/>
        <w:ind w:firstLine="400"/>
        <w:rPr>
          <w:color w:val="000000" w:themeColor="text1"/>
          <w:sz w:val="20"/>
          <w:szCs w:val="20"/>
          <w14:textFill>
            <w14:solidFill>
              <w14:schemeClr w14:val="tx1"/>
            </w14:solidFill>
          </w14:textFill>
        </w:rPr>
      </w:pPr>
    </w:p>
    <w:p w14:paraId="39FBDF9F">
      <w:pPr>
        <w:pStyle w:val="11"/>
        <w:kinsoku w:val="0"/>
        <w:overflowPunct w:val="0"/>
        <w:spacing w:after="0" w:line="360" w:lineRule="auto"/>
        <w:ind w:left="4111" w:right="437" w:firstLine="403"/>
        <w:rPr>
          <w:color w:val="000000" w:themeColor="text1"/>
          <w14:textFill>
            <w14:solidFill>
              <w14:schemeClr w14:val="tx1"/>
            </w14:solidFill>
          </w14:textFill>
        </w:rPr>
      </w:pPr>
      <w:r>
        <w:rPr>
          <w:rFonts w:hint="eastAsia"/>
          <w:color w:val="000000" w:themeColor="text1"/>
          <w14:textFill>
            <w14:solidFill>
              <w14:schemeClr w14:val="tx1"/>
            </w14:solidFill>
          </w14:textFill>
        </w:rPr>
        <w:t>投标人（盖章）：</w:t>
      </w:r>
      <w:r>
        <w:rPr>
          <w:color w:val="000000" w:themeColor="text1"/>
          <w:u w:val="single"/>
          <w14:textFill>
            <w14:solidFill>
              <w14:schemeClr w14:val="tx1"/>
            </w14:solidFill>
          </w14:textFill>
        </w:rPr>
        <w:t xml:space="preserve">                </w:t>
      </w:r>
    </w:p>
    <w:p w14:paraId="1D2DA218">
      <w:pPr>
        <w:pStyle w:val="11"/>
        <w:kinsoku w:val="0"/>
        <w:overflowPunct w:val="0"/>
        <w:spacing w:after="0" w:line="360" w:lineRule="auto"/>
        <w:ind w:left="4111" w:right="437" w:firstLine="403"/>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年</w:t>
      </w:r>
      <w:r>
        <w:rPr>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月</w:t>
      </w:r>
      <w:r>
        <w:rPr>
          <w:color w:val="000000" w:themeColor="text1"/>
          <w:u w:val="single"/>
          <w14:textFill>
            <w14:solidFill>
              <w14:schemeClr w14:val="tx1"/>
            </w14:solidFill>
          </w14:textFill>
        </w:rPr>
        <w:t xml:space="preserve">    </w:t>
      </w:r>
      <w:r>
        <w:rPr>
          <w:rFonts w:hint="eastAsia"/>
          <w:color w:val="000000" w:themeColor="text1"/>
          <w:spacing w:val="-3"/>
          <w14:textFill>
            <w14:solidFill>
              <w14:schemeClr w14:val="tx1"/>
            </w14:solidFill>
          </w14:textFill>
        </w:rPr>
        <w:t>日</w:t>
      </w:r>
    </w:p>
    <w:p w14:paraId="167B1DD1">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p>
    <w:p w14:paraId="6974E354">
      <w:pPr>
        <w:jc w:val="left"/>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br w:type="page"/>
      </w:r>
    </w:p>
    <w:p w14:paraId="67C491CF">
      <w:pPr>
        <w:pStyle w:val="11"/>
        <w:kinsoku w:val="0"/>
        <w:overflowPunct w:val="0"/>
        <w:spacing w:line="460" w:lineRule="exact"/>
        <w:ind w:right="14"/>
        <w:jc w:val="center"/>
        <w:rPr>
          <w:rFonts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14:textFill>
            <w14:solidFill>
              <w14:schemeClr w14:val="tx1"/>
            </w14:solidFill>
          </w14:textFill>
        </w:rPr>
        <w:t>属于监狱企业的证明文件</w:t>
      </w:r>
    </w:p>
    <w:p w14:paraId="36527BE7">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（提供由省级以上监狱管理局、戒毒管理局</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含新疆生产建设兵团</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出具的属于监狱企业的证</w:t>
      </w:r>
      <w:r>
        <w:rPr>
          <w:rFonts w:ascii="Times New Roman" w:hAnsi="Times New Roman" w:cs="Times New Roman"/>
          <w:color w:val="000000" w:themeColor="text1"/>
          <w14:textFill>
            <w14:solidFill>
              <w14:schemeClr w14:val="tx1"/>
            </w14:solidFill>
          </w14:textFill>
        </w:rPr>
        <w:t xml:space="preserve"> </w:t>
      </w:r>
      <w:r>
        <w:rPr>
          <w:rFonts w:hint="eastAsia" w:ascii="Times New Roman" w:hAnsi="Times New Roman" w:cs="Times New Roman"/>
          <w:color w:val="000000" w:themeColor="text1"/>
          <w14:textFill>
            <w14:solidFill>
              <w14:schemeClr w14:val="tx1"/>
            </w14:solidFill>
          </w14:textFill>
        </w:rPr>
        <w:t>明文件）</w:t>
      </w:r>
    </w:p>
    <w:p w14:paraId="2C0F0289">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p>
    <w:p w14:paraId="50724334">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p>
    <w:p w14:paraId="5647E4FF">
      <w:pPr>
        <w:pStyle w:val="11"/>
        <w:kinsoku w:val="0"/>
        <w:overflowPunct w:val="0"/>
        <w:spacing w:line="460" w:lineRule="exact"/>
        <w:ind w:right="14"/>
        <w:jc w:val="center"/>
        <w:rPr>
          <w:rFonts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14:textFill>
            <w14:solidFill>
              <w14:schemeClr w14:val="tx1"/>
            </w14:solidFill>
          </w14:textFill>
        </w:rPr>
        <w:t>节能产品认证文件</w:t>
      </w:r>
    </w:p>
    <w:p w14:paraId="2E6B864C">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（提供产品在《节能产品政府采购清单》中相应的页面）</w:t>
      </w:r>
    </w:p>
    <w:p w14:paraId="3B186C60">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p>
    <w:p w14:paraId="5C0AFA4F">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p>
    <w:p w14:paraId="41A21B15">
      <w:pPr>
        <w:pStyle w:val="11"/>
        <w:kinsoku w:val="0"/>
        <w:overflowPunct w:val="0"/>
        <w:spacing w:line="460" w:lineRule="exact"/>
        <w:ind w:right="14"/>
        <w:jc w:val="center"/>
        <w:rPr>
          <w:rFonts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14:textFill>
            <w14:solidFill>
              <w14:schemeClr w14:val="tx1"/>
            </w14:solidFill>
          </w14:textFill>
        </w:rPr>
        <w:t>环境标志产品认证文件</w:t>
      </w:r>
    </w:p>
    <w:p w14:paraId="33D932F0">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（提供产品在《环境标志产品政府采购清单》中相应的页面）</w:t>
      </w:r>
      <w:bookmarkEnd w:id="0"/>
    </w:p>
    <w:p w14:paraId="2C34EEE2">
      <w:pPr>
        <w:jc w:val="left"/>
        <w:rPr>
          <w:rFonts w:ascii="Times New Roman" w:hAnsi="Times New Roman" w:cs="Times New Roman"/>
          <w:color w:val="000000" w:themeColor="text1"/>
          <w14:textFill>
            <w14:solidFill>
              <w14:schemeClr w14:val="tx1"/>
            </w14:solidFill>
          </w14:textFill>
        </w:rPr>
      </w:pPr>
      <w:r>
        <w:rPr>
          <w:rFonts w:hint="eastAsia" w:ascii="方正魏碑_GBK" w:hAnsi="方正魏碑_GBK" w:eastAsia="方正魏碑_GBK" w:cs="方正魏碑_GBK"/>
          <w:b/>
          <w:sz w:val="24"/>
          <w:szCs w:val="24"/>
        </w:rPr>
        <w:br w:type="page"/>
      </w:r>
    </w:p>
    <w:p w14:paraId="4EB9C405">
      <w:pPr>
        <w:jc w:val="center"/>
        <w:rPr>
          <w:rFonts w:ascii="方正魏碑_GBK" w:hAnsi="方正魏碑_GBK" w:eastAsia="方正魏碑_GBK" w:cs="方正魏碑_GBK"/>
          <w:sz w:val="24"/>
          <w:szCs w:val="24"/>
        </w:rPr>
      </w:pPr>
      <w:r>
        <w:rPr>
          <w:rFonts w:hint="eastAsia" w:ascii="方正魏碑_GBK" w:hAnsi="方正魏碑_GBK" w:eastAsia="方正魏碑_GBK" w:cs="方正魏碑_GBK"/>
          <w:b/>
          <w:sz w:val="24"/>
          <w:szCs w:val="24"/>
        </w:rPr>
        <w:t>关于符合本国产品标准的声明函</w:t>
      </w:r>
    </w:p>
    <w:p w14:paraId="339B0747">
      <w:pPr>
        <w:pStyle w:val="24"/>
        <w:spacing w:before="0" w:beforeAutospacing="0" w:after="0" w:afterAutospacing="0" w:line="0" w:lineRule="atLeast"/>
        <w:ind w:firstLine="420"/>
        <w:rPr>
          <w:rFonts w:ascii="方正魏碑_GBK" w:hAnsi="方正魏碑_GBK" w:eastAsia="方正魏碑_GBK" w:cs="方正魏碑_GBK"/>
        </w:rPr>
      </w:pPr>
    </w:p>
    <w:p w14:paraId="4CE1C3CC">
      <w:pPr>
        <w:pStyle w:val="24"/>
        <w:spacing w:before="0" w:beforeAutospacing="0" w:after="0" w:afterAutospacing="0" w:line="0" w:lineRule="atLeast"/>
        <w:ind w:firstLine="420"/>
        <w:rPr>
          <w:rFonts w:ascii="方正魏碑_GBK" w:hAnsi="方正魏碑_GBK" w:eastAsia="方正魏碑_GBK" w:cs="方正魏碑_GBK"/>
        </w:rPr>
      </w:pPr>
      <w:r>
        <w:rPr>
          <w:rFonts w:hint="eastAsia" w:ascii="方正魏碑_GBK" w:hAnsi="方正魏碑_GBK" w:eastAsia="方正魏碑_GBK" w:cs="方正魏碑_GBK"/>
        </w:rPr>
        <w:t>本公司（单位）郑重声明，根据《国务院办公厅关于在政府采购中实施本国产品标准及相关政策的通知》（国办发〔2025〕34号）的规定，本公司（单位）提供的以下产品属于本国产品。具体情况如下：</w:t>
      </w:r>
    </w:p>
    <w:p w14:paraId="64E0B622">
      <w:pPr>
        <w:pStyle w:val="24"/>
        <w:spacing w:before="30" w:beforeAutospacing="0" w:after="30" w:afterAutospacing="0" w:line="0" w:lineRule="atLeast"/>
        <w:ind w:firstLine="420"/>
        <w:rPr>
          <w:rFonts w:ascii="方正魏碑_GBK" w:hAnsi="方正魏碑_GBK" w:eastAsia="方正魏碑_GBK" w:cs="方正魏碑_GBK"/>
        </w:rPr>
      </w:pPr>
      <w:r>
        <w:rPr>
          <w:rFonts w:hint="eastAsia" w:ascii="方正魏碑_GBK" w:hAnsi="方正魏碑_GBK" w:eastAsia="方正魏碑_GBK" w:cs="方正魏碑_GBK"/>
        </w:rPr>
        <mc:AlternateContent>
          <mc:Choice Requires="wps">
            <w:drawing>
              <wp:anchor distT="0" distB="0" distL="114300" distR="114300" simplePos="0" relativeHeight="251670528" behindDoc="0" locked="0" layoutInCell="1" allowOverlap="1">
                <wp:simplePos x="0" y="0"/>
                <wp:positionH relativeFrom="column">
                  <wp:posOffset>-8890</wp:posOffset>
                </wp:positionH>
                <wp:positionV relativeFrom="paragraph">
                  <wp:posOffset>511175</wp:posOffset>
                </wp:positionV>
                <wp:extent cx="565785" cy="130810"/>
                <wp:effectExtent l="1270" t="4445" r="4445" b="7620"/>
                <wp:wrapNone/>
                <wp:docPr id="11" name="直接箭头连接符 11"/>
                <wp:cNvGraphicFramePr/>
                <a:graphic xmlns:a="http://schemas.openxmlformats.org/drawingml/2006/main">
                  <a:graphicData uri="http://schemas.microsoft.com/office/word/2010/wordprocessingShape">
                    <wps:wsp>
                      <wps:cNvCnPr/>
                      <wps:spPr>
                        <a:xfrm flipV="1">
                          <a:off x="0" y="0"/>
                          <a:ext cx="565785" cy="1308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&#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zQTxy1QAAAAgBAAAPAAAAAAAAAAEAIAAAACIAAABk&#10;cnMvZG93bnJldi54bWxQSwECFAAUAAAACACHTuJAdRleBwkCAAD8AwAADgAAAAAAAAABACAAAAAk&#10;AQAAZHJzL2Uyb0RvYy54bWxQSwUGAAAAAAYABgBZAQAAnw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9504" behindDoc="0" locked="0" layoutInCell="1" allowOverlap="1">
                <wp:simplePos x="0" y="0"/>
                <wp:positionH relativeFrom="column">
                  <wp:posOffset>4976495</wp:posOffset>
                </wp:positionH>
                <wp:positionV relativeFrom="paragraph">
                  <wp:posOffset>309880</wp:posOffset>
                </wp:positionV>
                <wp:extent cx="196215" cy="97790"/>
                <wp:effectExtent l="1905" t="4445" r="11430" b="12065"/>
                <wp:wrapNone/>
                <wp:docPr id="13" name="直接箭头连接符 13"/>
                <wp:cNvGraphicFramePr/>
                <a:graphic xmlns:a="http://schemas.openxmlformats.org/drawingml/2006/main">
                  <a:graphicData uri="http://schemas.microsoft.com/office/word/2010/wordprocessingShape">
                    <wps:wsp>
                      <wps:cNvCnPr/>
                      <wps:spPr>
                        <a:xfrm flipV="1">
                          <a:off x="0" y="0"/>
                          <a:ext cx="196215" cy="977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&#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AZ5eP0BwIAAPsDAAAOAAAAAAAAAAEAIAAAACUB&#10;AABkcnMvZTJvRG9jLnhtbFBLBQYAAAAABgAGAFkBAACe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8480" behindDoc="0" locked="0" layoutInCell="1" allowOverlap="1">
                <wp:simplePos x="0" y="0"/>
                <wp:positionH relativeFrom="column">
                  <wp:posOffset>3109595</wp:posOffset>
                </wp:positionH>
                <wp:positionV relativeFrom="paragraph">
                  <wp:posOffset>511175</wp:posOffset>
                </wp:positionV>
                <wp:extent cx="816610" cy="147320"/>
                <wp:effectExtent l="635" t="4445" r="1905" b="10160"/>
                <wp:wrapNone/>
                <wp:docPr id="5" name="直接箭头连接符 5"/>
                <wp:cNvGraphicFramePr/>
                <a:graphic xmlns:a="http://schemas.openxmlformats.org/drawingml/2006/main">
                  <a:graphicData uri="http://schemas.microsoft.com/office/word/2010/wordprocessingShape">
                    <wps:wsp>
                      <wps:cNvCnPr/>
                      <wps:spPr>
                        <a:xfrm flipV="1">
                          <a:off x="0" y="0"/>
                          <a:ext cx="816610" cy="1473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B/Q0hiCQIAAPoDAAAOAAAAAAAAAAEAIAAA&#10;ACYBAABkcnMvZTJvRG9jLnhtbFBLBQYAAAAABgAGAFkBAACh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7456" behindDoc="0" locked="0" layoutInCell="1" allowOverlap="1">
                <wp:simplePos x="0" y="0"/>
                <wp:positionH relativeFrom="column">
                  <wp:posOffset>29210</wp:posOffset>
                </wp:positionH>
                <wp:positionV relativeFrom="paragraph">
                  <wp:posOffset>309880</wp:posOffset>
                </wp:positionV>
                <wp:extent cx="364490" cy="97790"/>
                <wp:effectExtent l="1270" t="4445" r="5715" b="12065"/>
                <wp:wrapNone/>
                <wp:docPr id="3" name="直接箭头连接符 3"/>
                <wp:cNvGraphicFramePr/>
                <a:graphic xmlns:a="http://schemas.openxmlformats.org/drawingml/2006/main">
                  <a:graphicData uri="http://schemas.microsoft.com/office/word/2010/wordprocessingShape">
                    <wps:wsp>
                      <wps:cNvCnPr/>
                      <wps:spPr>
                        <a:xfrm flipV="1">
                          <a:off x="0" y="0"/>
                          <a:ext cx="364490" cy="977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kd11S0wAAAAYBAAAPAAAAAAAAAAEAIAAAACIAAABkcnMvZG93&#10;bnJldi54bWxQSwECFAAUAAAACACHTuJA6GREIQUCAAD5AwAADgAAAAAAAAABACAAAAAiAQAAZHJz&#10;L2Uyb0RvYy54bWxQSwUGAAAAAAYABgBZAQAAmQ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6432" behindDoc="0" locked="0" layoutInCell="1" allowOverlap="1">
                <wp:simplePos x="0" y="0"/>
                <wp:positionH relativeFrom="column">
                  <wp:posOffset>4595495</wp:posOffset>
                </wp:positionH>
                <wp:positionV relativeFrom="paragraph">
                  <wp:posOffset>86995</wp:posOffset>
                </wp:positionV>
                <wp:extent cx="577215" cy="92075"/>
                <wp:effectExtent l="635" t="4445" r="3175" b="8255"/>
                <wp:wrapNone/>
                <wp:docPr id="8" name="直接箭头连接符 8"/>
                <wp:cNvGraphicFramePr/>
                <a:graphic xmlns:a="http://schemas.openxmlformats.org/drawingml/2006/main">
                  <a:graphicData uri="http://schemas.microsoft.com/office/word/2010/wordprocessingShape">
                    <wps:wsp>
                      <wps:cNvCnPr/>
                      <wps:spPr>
                        <a:xfrm flipV="1">
                          <a:off x="0" y="0"/>
                          <a:ext cx="577215" cy="920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ihcWtYAAAAJAQAADwAAAAAAAAABACAAAAAiAAAAZHJzL2Rv&#10;d25yZXYueG1sUEsBAhQAFAAAAAgAh07iQBkibcADAgAA+QMAAA4AAAAAAAAAAQAgAAAAJQEAAGRy&#10;cy9lMm9Eb2MueG1sUEsFBgAAAAAGAAYAWQEAAJoFA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1312" behindDoc="0" locked="0" layoutInCell="1" allowOverlap="1">
                <wp:simplePos x="0" y="0"/>
                <wp:positionH relativeFrom="column">
                  <wp:posOffset>1945005</wp:posOffset>
                </wp:positionH>
                <wp:positionV relativeFrom="paragraph">
                  <wp:posOffset>521970</wp:posOffset>
                </wp:positionV>
                <wp:extent cx="876300" cy="120015"/>
                <wp:effectExtent l="635" t="4445" r="8890" b="8890"/>
                <wp:wrapNone/>
                <wp:docPr id="10" name="直接箭头连接符 10"/>
                <wp:cNvGraphicFramePr/>
                <a:graphic xmlns:a="http://schemas.openxmlformats.org/drawingml/2006/main">
                  <a:graphicData uri="http://schemas.microsoft.com/office/word/2010/wordprocessingShape">
                    <wps:wsp>
                      <wps:cNvCnPr/>
                      <wps:spPr>
                        <a:xfrm flipV="1">
                          <a:off x="0" y="0"/>
                          <a:ext cx="876300" cy="1200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B/J+71gAAAAoBAAAPAAAAAAAAAAEAIAAAACIAAABkcnMv&#10;ZG93bnJldi54bWxQSwECFAAUAAAACACHTuJAl1Za2AUCAAD8AwAADgAAAAAAAAABACAAAAAlAQAA&#10;ZHJzL2Uyb0RvYy54bWxQSwUGAAAAAAYABgBZAQAAnA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0288" behindDoc="0" locked="0" layoutInCell="1" allowOverlap="1">
                <wp:simplePos x="0" y="0"/>
                <wp:positionH relativeFrom="column">
                  <wp:posOffset>3844290</wp:posOffset>
                </wp:positionH>
                <wp:positionV relativeFrom="paragraph">
                  <wp:posOffset>304165</wp:posOffset>
                </wp:positionV>
                <wp:extent cx="816610" cy="103505"/>
                <wp:effectExtent l="635" t="4445" r="1905" b="6350"/>
                <wp:wrapNone/>
                <wp:docPr id="12" name="直接箭头连接符 12"/>
                <wp:cNvGraphicFramePr/>
                <a:graphic xmlns:a="http://schemas.openxmlformats.org/drawingml/2006/main">
                  <a:graphicData uri="http://schemas.microsoft.com/office/word/2010/wordprocessingShape">
                    <wps:wsp>
                      <wps:cNvCnPr/>
                      <wps:spPr>
                        <a:xfrm flipV="1">
                          <a:off x="0" y="0"/>
                          <a:ext cx="816610" cy="1035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r0J761wAAAAkBAAAPAAAAAAAAAAEAIAAAACIAAABk&#10;cnMvZG93bnJldi54bWxQSwECFAAUAAAACACHTuJAfI+7ggcCAAD8AwAADgAAAAAAAAABACAAAAAm&#10;AQAAZHJzL2Uyb0RvYy54bWxQSwUGAAAAAAYABgBZAQAAnw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59264" behindDoc="0" locked="0" layoutInCell="1" allowOverlap="1">
                <wp:simplePos x="0" y="0"/>
                <wp:positionH relativeFrom="column">
                  <wp:posOffset>2772410</wp:posOffset>
                </wp:positionH>
                <wp:positionV relativeFrom="paragraph">
                  <wp:posOffset>320675</wp:posOffset>
                </wp:positionV>
                <wp:extent cx="816610" cy="76200"/>
                <wp:effectExtent l="635" t="4445" r="1905" b="5080"/>
                <wp:wrapNone/>
                <wp:docPr id="6" name="直接箭头连接符 6"/>
                <wp:cNvGraphicFramePr/>
                <a:graphic xmlns:a="http://schemas.openxmlformats.org/drawingml/2006/main">
                  <a:graphicData uri="http://schemas.microsoft.com/office/word/2010/wordprocessingShape">
                    <wps:wsp>
                      <wps:cNvCnPr/>
                      <wps:spPr>
                        <a:xfrm flipV="1">
                          <a:off x="0" y="0"/>
                          <a:ext cx="816610" cy="762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yqJooFAgAA+QMAAA4AAAAAAAAAAQAgAAAAJgEA&#10;AGRycy9lMm9Eb2MueG1sUEsFBgAAAAAGAAYAWQEAAJ0FA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shd w:val="clear" w:color="auto" w:fill="FFFFFF"/>
        </w:rPr>
        <w:t>1.</w:t>
      </w:r>
      <w:r>
        <w:rPr>
          <w:rStyle w:val="33"/>
          <w:rFonts w:hint="eastAsia" w:ascii="方正魏碑_GBK" w:hAnsi="方正魏碑_GBK" w:eastAsia="方正魏碑_GBK" w:cs="方正魏碑_GBK"/>
          <w:u w:val="single"/>
          <w:shd w:val="clear" w:color="auto" w:fill="FFFFFF"/>
        </w:rPr>
        <w:t>（产品名称1）</w:t>
      </w:r>
      <w:r>
        <w:rPr>
          <w:rStyle w:val="33"/>
          <w:rFonts w:hint="eastAsia" w:ascii="方正魏碑_GBK" w:hAnsi="方正魏碑_GBK" w:eastAsia="方正魏碑_GBK" w:cs="方正魏碑_GBK"/>
          <w:shd w:val="clear" w:color="auto" w:fill="FFFFFF"/>
          <w:vertAlign w:val="superscript"/>
        </w:rPr>
        <w:t>1</w:t>
      </w:r>
      <w:r>
        <w:rPr>
          <w:rFonts w:hint="eastAsia" w:ascii="方正魏碑_GBK" w:hAnsi="方正魏碑_GBK" w:eastAsia="方正魏碑_GBK" w:cs="方正魏碑_GBK"/>
          <w:shd w:val="clear" w:color="auto" w:fill="FFFFFF"/>
        </w:rPr>
        <w:t>，生产厂为</w:t>
      </w:r>
      <w:r>
        <w:rPr>
          <w:rStyle w:val="33"/>
          <w:rFonts w:hint="eastAsia" w:ascii="方正魏碑_GBK" w:hAnsi="方正魏碑_GBK" w:eastAsia="方正魏碑_GBK" w:cs="方正魏碑_GBK"/>
          <w:u w:val="single"/>
          <w:shd w:val="clear" w:color="auto" w:fill="FFFFFF"/>
        </w:rPr>
        <w:t>（厂名）</w:t>
      </w:r>
      <w:r>
        <w:rPr>
          <w:rStyle w:val="33"/>
          <w:rFonts w:hint="eastAsia" w:ascii="方正魏碑_GBK" w:hAnsi="方正魏碑_GBK" w:eastAsia="方正魏碑_GBK" w:cs="方正魏碑_GBK"/>
          <w:shd w:val="clear" w:color="auto" w:fill="FFFFFF"/>
          <w:vertAlign w:val="superscript"/>
        </w:rPr>
        <w:t>2</w:t>
      </w:r>
      <w:r>
        <w:rPr>
          <w:rFonts w:hint="eastAsia" w:ascii="方正魏碑_GBK" w:hAnsi="方正魏碑_GBK" w:eastAsia="方正魏碑_GBK" w:cs="方正魏碑_GBK"/>
          <w:shd w:val="clear" w:color="auto" w:fill="FFFFFF"/>
        </w:rPr>
        <w:t>，厂址为</w:t>
      </w:r>
      <w:r>
        <w:rPr>
          <w:rStyle w:val="33"/>
          <w:rFonts w:hint="eastAsia" w:ascii="方正魏碑_GBK" w:hAnsi="方正魏碑_GBK" w:eastAsia="方正魏碑_GBK" w:cs="方正魏碑_GBK"/>
          <w:u w:val="single"/>
          <w:shd w:val="clear" w:color="auto" w:fill="FFFFFF"/>
        </w:rPr>
        <w:t>（生产厂址）</w:t>
      </w:r>
      <w:r>
        <w:rPr>
          <w:rFonts w:hint="eastAsia" w:ascii="方正魏碑_GBK" w:hAnsi="方正魏碑_GBK" w:eastAsia="方正魏碑_GBK" w:cs="方正魏碑_GBK"/>
          <w:shd w:val="clear" w:color="auto" w:fill="FFFFFF"/>
        </w:rPr>
        <w:t>。</w:t>
      </w:r>
      <w:r>
        <w:rPr>
          <w:rFonts w:hint="eastAsia" w:ascii="方正魏碑_GBK" w:hAnsi="方正魏碑_GBK" w:eastAsia="方正魏碑_GBK" w:cs="方正魏碑_GBK"/>
          <w:u w:val="single"/>
          <w:shd w:val="clear" w:color="auto" w:fill="FFFFFF"/>
        </w:rPr>
        <w:t xml:space="preserve"> </w:t>
      </w:r>
      <w:r>
        <w:rPr>
          <w:rStyle w:val="33"/>
          <w:rFonts w:hint="eastAsia" w:ascii="方正魏碑_GBK" w:hAnsi="方正魏碑_GBK" w:eastAsia="方正魏碑_GBK" w:cs="方正魏碑_GBK"/>
          <w:u w:val="single"/>
          <w:shd w:val="clear" w:color="auto" w:fill="FFFFFF"/>
        </w:rPr>
        <w:t xml:space="preserve">（产品名称1） </w:t>
      </w:r>
      <w:r>
        <w:rPr>
          <w:rFonts w:hint="eastAsia" w:ascii="方正魏碑_GBK" w:hAnsi="方正魏碑_GBK" w:eastAsia="方正魏碑_GBK" w:cs="方正魏碑_GBK"/>
          <w:shd w:val="clear" w:color="auto" w:fill="FFFFFF"/>
        </w:rPr>
        <w:t>的中国境内生产的组件成本占比≥</w:t>
      </w:r>
      <w:r>
        <w:rPr>
          <w:rStyle w:val="33"/>
          <w:rFonts w:hint="eastAsia" w:ascii="方正魏碑_GBK" w:hAnsi="方正魏碑_GBK" w:eastAsia="方正魏碑_GBK" w:cs="方正魏碑_GBK"/>
          <w:u w:val="single"/>
          <w:shd w:val="clear" w:color="auto" w:fill="FFFFFF"/>
        </w:rPr>
        <w:t>（规定</w:t>
      </w:r>
      <w:r>
        <w:rPr>
          <w:rStyle w:val="33"/>
          <w:rFonts w:ascii="方正魏碑_GBK" w:hAnsi="方正魏碑_GBK" w:eastAsia="方正魏碑_GBK" w:cs="方正魏碑_GBK"/>
          <w:u w:val="single"/>
          <w:shd w:val="clear" w:color="auto" w:fill="FFFFFF"/>
        </w:rPr>
        <w:t>比例</w:t>
      </w:r>
      <w:r>
        <w:rPr>
          <w:rStyle w:val="33"/>
          <w:rFonts w:hint="eastAsia" w:ascii="方正魏碑_GBK" w:hAnsi="方正魏碑_GBK" w:eastAsia="方正魏碑_GBK" w:cs="方正魏碑_GBK"/>
          <w:u w:val="single"/>
          <w:shd w:val="clear" w:color="auto" w:fill="FFFFFF"/>
        </w:rPr>
        <w:t>）</w:t>
      </w:r>
      <w:r>
        <w:rPr>
          <w:rStyle w:val="33"/>
          <w:rFonts w:hint="eastAsia" w:ascii="方正魏碑_GBK" w:hAnsi="方正魏碑_GBK" w:eastAsia="方正魏碑_GBK" w:cs="方正魏碑_GBK"/>
          <w:shd w:val="clear" w:color="auto" w:fill="FFFFFF"/>
          <w:vertAlign w:val="superscript"/>
        </w:rPr>
        <w:t>3</w:t>
      </w:r>
      <w:r>
        <w:rPr>
          <w:rFonts w:hint="eastAsia" w:ascii="方正魏碑_GBK" w:hAnsi="方正魏碑_GBK" w:eastAsia="方正魏碑_GBK" w:cs="方正魏碑_GBK"/>
          <w:shd w:val="clear" w:color="auto" w:fill="FFFFFF"/>
        </w:rPr>
        <w:t>。</w:t>
      </w:r>
      <w:r>
        <w:rPr>
          <w:rStyle w:val="33"/>
          <w:rFonts w:hint="eastAsia" w:ascii="方正魏碑_GBK" w:hAnsi="方正魏碑_GBK" w:eastAsia="方正魏碑_GBK" w:cs="方正魏碑_GBK"/>
          <w:u w:val="single"/>
          <w:shd w:val="clear" w:color="auto" w:fill="FFFFFF"/>
        </w:rPr>
        <w:t>（产品名称1）</w:t>
      </w:r>
      <w:r>
        <w:rPr>
          <w:rFonts w:hint="eastAsia" w:ascii="方正魏碑_GBK" w:hAnsi="方正魏碑_GBK" w:eastAsia="方正魏碑_GBK" w:cs="方正魏碑_GBK"/>
          <w:shd w:val="clear" w:color="auto" w:fill="FFFFFF"/>
        </w:rPr>
        <w:t>的</w:t>
      </w:r>
      <w:r>
        <w:rPr>
          <w:rStyle w:val="33"/>
          <w:rFonts w:hint="eastAsia" w:ascii="方正魏碑_GBK" w:hAnsi="方正魏碑_GBK" w:eastAsia="方正魏碑_GBK" w:cs="方正魏碑_GBK"/>
          <w:u w:val="single"/>
          <w:shd w:val="clear" w:color="auto" w:fill="FFFFFF"/>
        </w:rPr>
        <w:t>（关键</w:t>
      </w:r>
      <w:r>
        <w:rPr>
          <w:rStyle w:val="33"/>
          <w:rFonts w:ascii="方正魏碑_GBK" w:hAnsi="方正魏碑_GBK" w:eastAsia="方正魏碑_GBK" w:cs="方正魏碑_GBK"/>
          <w:u w:val="single"/>
          <w:shd w:val="clear" w:color="auto" w:fill="FFFFFF"/>
        </w:rPr>
        <w:t>组件</w:t>
      </w:r>
      <w:r>
        <w:rPr>
          <w:rStyle w:val="33"/>
          <w:rFonts w:hint="eastAsia" w:ascii="方正魏碑_GBK" w:hAnsi="方正魏碑_GBK" w:eastAsia="方正魏碑_GBK" w:cs="方正魏碑_GBK"/>
          <w:u w:val="single"/>
          <w:shd w:val="clear" w:color="auto" w:fill="FFFFFF"/>
        </w:rPr>
        <w:t>）</w:t>
      </w:r>
      <w:r>
        <w:rPr>
          <w:rStyle w:val="33"/>
          <w:rFonts w:hint="eastAsia" w:ascii="方正魏碑_GBK" w:hAnsi="方正魏碑_GBK" w:eastAsia="方正魏碑_GBK" w:cs="方正魏碑_GBK"/>
          <w:shd w:val="clear" w:color="auto" w:fill="FFFFFF"/>
          <w:vertAlign w:val="superscript"/>
        </w:rPr>
        <w:t>4</w:t>
      </w:r>
      <w:r>
        <w:rPr>
          <w:rFonts w:hint="eastAsia" w:ascii="方正魏碑_GBK" w:hAnsi="方正魏碑_GBK" w:eastAsia="方正魏碑_GBK" w:cs="方正魏碑_GBK"/>
          <w:shd w:val="clear" w:color="auto" w:fill="FFFFFF"/>
        </w:rPr>
        <w:t>在中国境内生产。</w:t>
      </w:r>
      <w:r>
        <w:rPr>
          <w:rStyle w:val="33"/>
          <w:rFonts w:hint="eastAsia" w:ascii="方正魏碑_GBK" w:hAnsi="方正魏碑_GBK" w:eastAsia="方正魏碑_GBK" w:cs="方正魏碑_GBK"/>
          <w:u w:val="single"/>
          <w:shd w:val="clear" w:color="auto" w:fill="FFFFFF"/>
        </w:rPr>
        <w:t>（产品名称1）</w:t>
      </w:r>
      <w:r>
        <w:rPr>
          <w:rFonts w:hint="eastAsia" w:ascii="方正魏碑_GBK" w:hAnsi="方正魏碑_GBK" w:eastAsia="方正魏碑_GBK" w:cs="方正魏碑_GBK"/>
          <w:shd w:val="clear" w:color="auto" w:fill="FFFFFF"/>
        </w:rPr>
        <w:t>的</w:t>
      </w:r>
      <w:r>
        <w:rPr>
          <w:rStyle w:val="33"/>
          <w:rFonts w:hint="eastAsia" w:ascii="方正魏碑_GBK" w:hAnsi="方正魏碑_GBK" w:eastAsia="方正魏碑_GBK" w:cs="方正魏碑_GBK"/>
          <w:u w:val="single"/>
          <w:shd w:val="clear" w:color="auto" w:fill="FFFFFF"/>
        </w:rPr>
        <w:t>（关键工序）</w:t>
      </w:r>
      <w:r>
        <w:rPr>
          <w:rStyle w:val="33"/>
          <w:rFonts w:hint="eastAsia" w:ascii="方正魏碑_GBK" w:hAnsi="方正魏碑_GBK" w:eastAsia="方正魏碑_GBK" w:cs="方正魏碑_GBK"/>
          <w:shd w:val="clear" w:color="auto" w:fill="FFFFFF"/>
          <w:vertAlign w:val="superscript"/>
        </w:rPr>
        <w:t>5</w:t>
      </w:r>
      <w:r>
        <w:rPr>
          <w:rFonts w:hint="eastAsia" w:ascii="方正魏碑_GBK" w:hAnsi="方正魏碑_GBK" w:eastAsia="方正魏碑_GBK" w:cs="方正魏碑_GBK"/>
          <w:shd w:val="clear" w:color="auto" w:fill="FFFFFF"/>
        </w:rPr>
        <w:t>在中国境内完成。</w:t>
      </w:r>
    </w:p>
    <w:p w14:paraId="247B2278">
      <w:pPr>
        <w:pStyle w:val="24"/>
        <w:spacing w:before="30" w:beforeAutospacing="0" w:after="30" w:afterAutospacing="0" w:line="0" w:lineRule="atLeast"/>
        <w:ind w:firstLine="420"/>
        <w:rPr>
          <w:rFonts w:ascii="方正魏碑_GBK" w:hAnsi="方正魏碑_GBK" w:eastAsia="方正魏碑_GBK" w:cs="方正魏碑_GBK"/>
        </w:rPr>
      </w:pPr>
      <w:r>
        <w:rPr>
          <w:rFonts w:hint="eastAsia" w:ascii="方正魏碑_GBK" w:hAnsi="方正魏碑_GBK" w:eastAsia="方正魏碑_GBK" w:cs="方正魏碑_GBK"/>
        </w:rPr>
        <mc:AlternateContent>
          <mc:Choice Requires="wps">
            <w:drawing>
              <wp:anchor distT="0" distB="0" distL="114300" distR="114300" simplePos="0" relativeHeight="251673600" behindDoc="0" locked="0" layoutInCell="1" allowOverlap="1">
                <wp:simplePos x="0" y="0"/>
                <wp:positionH relativeFrom="column">
                  <wp:posOffset>4780915</wp:posOffset>
                </wp:positionH>
                <wp:positionV relativeFrom="paragraph">
                  <wp:posOffset>271780</wp:posOffset>
                </wp:positionV>
                <wp:extent cx="462280" cy="147320"/>
                <wp:effectExtent l="1270" t="4445" r="3175" b="10160"/>
                <wp:wrapNone/>
                <wp:docPr id="7" name="直接箭头连接符 7"/>
                <wp:cNvGraphicFramePr/>
                <a:graphic xmlns:a="http://schemas.openxmlformats.org/drawingml/2006/main">
                  <a:graphicData uri="http://schemas.microsoft.com/office/word/2010/wordprocessingShape">
                    <wps:wsp>
                      <wps:cNvCnPr/>
                      <wps:spPr>
                        <a:xfrm flipV="1">
                          <a:off x="0" y="0"/>
                          <a:ext cx="462280" cy="14732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D0Vvk1wAAAAkBAAAPAAAAAAAAAAEAIAAAACIA&#10;AABkcnMvZG93bnJldi54bWxQSwECFAAUAAAACACHTuJAsIH1FgoCAAD6AwAADgAAAAAAAAABACAA&#10;AAAmAQAAZHJzL2Uyb0RvYy54bWxQSwUGAAAAAAYABgBZAQAAog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74624" behindDoc="0" locked="0" layoutInCell="1" allowOverlap="1">
                <wp:simplePos x="0" y="0"/>
                <wp:positionH relativeFrom="column">
                  <wp:posOffset>12700</wp:posOffset>
                </wp:positionH>
                <wp:positionV relativeFrom="paragraph">
                  <wp:posOffset>511810</wp:posOffset>
                </wp:positionV>
                <wp:extent cx="424815" cy="112395"/>
                <wp:effectExtent l="1270" t="4445" r="2540" b="6985"/>
                <wp:wrapNone/>
                <wp:docPr id="9" name="直接箭头连接符 9"/>
                <wp:cNvGraphicFramePr/>
                <a:graphic xmlns:a="http://schemas.openxmlformats.org/drawingml/2006/main">
                  <a:graphicData uri="http://schemas.microsoft.com/office/word/2010/wordprocessingShape">
                    <wps:wsp>
                      <wps:cNvCnPr/>
                      <wps:spPr>
                        <a:xfrm flipV="1">
                          <a:off x="0" y="0"/>
                          <a:ext cx="424815" cy="1123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BIPuZhBQIAAPoDAAAOAAAAAAAAAAEAIAAAACQBAABk&#10;cnMvZTJvRG9jLnhtbFBLBQYAAAAABgAGAFkBAACb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72576" behindDoc="0" locked="0" layoutInCell="1" allowOverlap="1">
                <wp:simplePos x="0" y="0"/>
                <wp:positionH relativeFrom="column">
                  <wp:posOffset>-25400</wp:posOffset>
                </wp:positionH>
                <wp:positionV relativeFrom="paragraph">
                  <wp:posOffset>288290</wp:posOffset>
                </wp:positionV>
                <wp:extent cx="234315" cy="86995"/>
                <wp:effectExtent l="1905" t="4445" r="1905" b="13335"/>
                <wp:wrapNone/>
                <wp:docPr id="4" name="直接箭头连接符 4"/>
                <wp:cNvGraphicFramePr/>
                <a:graphic xmlns:a="http://schemas.openxmlformats.org/drawingml/2006/main">
                  <a:graphicData uri="http://schemas.microsoft.com/office/word/2010/wordprocessingShape">
                    <wps:wsp>
                      <wps:cNvCnPr/>
                      <wps:spPr>
                        <a:xfrm flipV="1">
                          <a:off x="0" y="0"/>
                          <a:ext cx="234315" cy="869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&#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ZoSbNBgIAAPkDAAAOAAAAAAAAAAEAIAAAACYB&#10;AABkcnMvZTJvRG9jLnhtbFBLBQYAAAAABgAGAFkBAACe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71552" behindDoc="0" locked="0" layoutInCell="1" allowOverlap="1">
                <wp:simplePos x="0" y="0"/>
                <wp:positionH relativeFrom="column">
                  <wp:posOffset>4476115</wp:posOffset>
                </wp:positionH>
                <wp:positionV relativeFrom="paragraph">
                  <wp:posOffset>59690</wp:posOffset>
                </wp:positionV>
                <wp:extent cx="718185" cy="97790"/>
                <wp:effectExtent l="635" t="4445" r="5080" b="12065"/>
                <wp:wrapNone/>
                <wp:docPr id="2" name="直接箭头连接符 2"/>
                <wp:cNvGraphicFramePr/>
                <a:graphic xmlns:a="http://schemas.openxmlformats.org/drawingml/2006/main">
                  <a:graphicData uri="http://schemas.microsoft.com/office/word/2010/wordprocessingShape">
                    <wps:wsp>
                      <wps:cNvCnPr/>
                      <wps:spPr>
                        <a:xfrm flipV="1">
                          <a:off x="0" y="0"/>
                          <a:ext cx="718185" cy="977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U+F8/AcCAAD5AwAADgAAAAAAAAABACAAAAAm&#10;AQAAZHJzL2Uyb0RvYy54bWxQSwUGAAAAAAYABgBZAQAAnw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4384" behindDoc="0" locked="0" layoutInCell="1" allowOverlap="1">
                <wp:simplePos x="0" y="0"/>
                <wp:positionH relativeFrom="column">
                  <wp:posOffset>1734185</wp:posOffset>
                </wp:positionH>
                <wp:positionV relativeFrom="paragraph">
                  <wp:posOffset>483235</wp:posOffset>
                </wp:positionV>
                <wp:extent cx="908685" cy="140970"/>
                <wp:effectExtent l="635" t="4445" r="5080" b="6985"/>
                <wp:wrapNone/>
                <wp:docPr id="15" name="直接箭头连接符 15"/>
                <wp:cNvGraphicFramePr/>
                <a:graphic xmlns:a="http://schemas.openxmlformats.org/drawingml/2006/main">
                  <a:graphicData uri="http://schemas.microsoft.com/office/word/2010/wordprocessingShape">
                    <wps:wsp>
                      <wps:cNvCnPr/>
                      <wps:spPr>
                        <a:xfrm flipV="1">
                          <a:off x="0" y="0"/>
                          <a:ext cx="908685" cy="14097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XUvHTYAAAACQEAAA8AAAAAAAAAAQAgAAAAIgAA&#10;AGRycy9kb3ducmV2LnhtbFBLAQIUABQAAAAIAIdO4kDNs2pQCAIAAPwDAAAOAAAAAAAAAAEAIAAA&#10;ACcBAABkcnMvZTJvRG9jLnhtbFBLBQYAAAAABgAGAFkBAACh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5408" behindDoc="0" locked="0" layoutInCell="1" allowOverlap="1">
                <wp:simplePos x="0" y="0"/>
                <wp:positionH relativeFrom="column">
                  <wp:posOffset>2914015</wp:posOffset>
                </wp:positionH>
                <wp:positionV relativeFrom="paragraph">
                  <wp:posOffset>511810</wp:posOffset>
                </wp:positionV>
                <wp:extent cx="821690" cy="102870"/>
                <wp:effectExtent l="635" t="4445" r="6350" b="6985"/>
                <wp:wrapNone/>
                <wp:docPr id="16" name="直接箭头连接符 16"/>
                <wp:cNvGraphicFramePr/>
                <a:graphic xmlns:a="http://schemas.openxmlformats.org/drawingml/2006/main">
                  <a:graphicData uri="http://schemas.microsoft.com/office/word/2010/wordprocessingShape">
                    <wps:wsp>
                      <wps:cNvCnPr/>
                      <wps:spPr>
                        <a:xfrm flipV="1">
                          <a:off x="0" y="0"/>
                          <a:ext cx="821690" cy="10287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OvDXj1wAAAAkBAAAPAAAAAAAAAAEAIAAAACIA&#10;AABkcnMvZG93bnJldi54bWxQSwECFAAUAAAACACHTuJA9up+/AoCAAD8AwAADgAAAAAAAAABACAA&#10;AAAmAQAAZHJzL2Uyb0RvYy54bWxQSwUGAAAAAAYABgBZAQAAog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3360" behindDoc="0" locked="0" layoutInCell="1" allowOverlap="1">
                <wp:simplePos x="0" y="0"/>
                <wp:positionH relativeFrom="column">
                  <wp:posOffset>3615690</wp:posOffset>
                </wp:positionH>
                <wp:positionV relativeFrom="paragraph">
                  <wp:posOffset>277495</wp:posOffset>
                </wp:positionV>
                <wp:extent cx="849630" cy="120015"/>
                <wp:effectExtent l="635" t="4445" r="6985" b="8890"/>
                <wp:wrapNone/>
                <wp:docPr id="17" name="直接箭头连接符 17"/>
                <wp:cNvGraphicFramePr/>
                <a:graphic xmlns:a="http://schemas.openxmlformats.org/drawingml/2006/main">
                  <a:graphicData uri="http://schemas.microsoft.com/office/word/2010/wordprocessingShape">
                    <wps:wsp>
                      <wps:cNvCnPr/>
                      <wps:spPr>
                        <a:xfrm flipV="1">
                          <a:off x="0" y="0"/>
                          <a:ext cx="849630" cy="1200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CBmVaQHAgAA/AMAAA4AAAAAAAAAAQAgAAAA&#10;JwEAAGRycy9lMm9Eb2MueG1sUEsFBgAAAAAGAAYAWQEAAKAFA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rPr>
        <mc:AlternateContent>
          <mc:Choice Requires="wps">
            <w:drawing>
              <wp:anchor distT="0" distB="0" distL="114300" distR="114300" simplePos="0" relativeHeight="251662336" behindDoc="0" locked="0" layoutInCell="1" allowOverlap="1">
                <wp:simplePos x="0" y="0"/>
                <wp:positionH relativeFrom="column">
                  <wp:posOffset>2554605</wp:posOffset>
                </wp:positionH>
                <wp:positionV relativeFrom="paragraph">
                  <wp:posOffset>271780</wp:posOffset>
                </wp:positionV>
                <wp:extent cx="843915" cy="125730"/>
                <wp:effectExtent l="635" t="4445" r="3175" b="12700"/>
                <wp:wrapNone/>
                <wp:docPr id="14" name="直接箭头连接符 14"/>
                <wp:cNvGraphicFramePr/>
                <a:graphic xmlns:a="http://schemas.openxmlformats.org/drawingml/2006/main">
                  <a:graphicData uri="http://schemas.microsoft.com/office/word/2010/wordprocessingShape">
                    <wps:wsp>
                      <wps:cNvCnPr/>
                      <wps:spPr>
                        <a:xfrm flipV="1">
                          <a:off x="0" y="0"/>
                          <a:ext cx="843915" cy="1257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kskCQ1wAAAAkBAAAPAAAAAAAAAAEAIAAAACIA&#10;AABkcnMvZG93bnJldi54bWxQSwECFAAUAAAACACHTuJAzBeATAoCAAD8AwAADgAAAAAAAAABACAA&#10;AAAmAQAAZHJzL2Uyb0RvYy54bWxQSwUGAAAAAAYABgBZAQAAog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shd w:val="clear" w:color="auto" w:fill="FFFFFF"/>
        </w:rPr>
        <w:t>2.</w:t>
      </w:r>
      <w:r>
        <w:rPr>
          <w:rStyle w:val="33"/>
          <w:rFonts w:hint="eastAsia" w:ascii="方正魏碑_GBK" w:hAnsi="方正魏碑_GBK" w:eastAsia="方正魏碑_GBK" w:cs="方正魏碑_GBK"/>
          <w:u w:val="single"/>
          <w:shd w:val="clear" w:color="auto" w:fill="FFFFFF"/>
        </w:rPr>
        <w:t>（产品名称2）</w:t>
      </w:r>
      <w:r>
        <w:rPr>
          <w:rFonts w:hint="eastAsia" w:ascii="方正魏碑_GBK" w:hAnsi="方正魏碑_GBK" w:eastAsia="方正魏碑_GBK" w:cs="方正魏碑_GBK"/>
          <w:shd w:val="clear" w:color="auto" w:fill="FFFFFF"/>
        </w:rPr>
        <w:t>，生产厂为</w:t>
      </w:r>
      <w:r>
        <w:rPr>
          <w:rStyle w:val="33"/>
          <w:rFonts w:hint="eastAsia" w:ascii="方正魏碑_GBK" w:hAnsi="方正魏碑_GBK" w:eastAsia="方正魏碑_GBK" w:cs="方正魏碑_GBK"/>
          <w:u w:val="single"/>
          <w:shd w:val="clear" w:color="auto" w:fill="FFFFFF"/>
        </w:rPr>
        <w:t>（厂名）</w:t>
      </w:r>
      <w:r>
        <w:rPr>
          <w:rFonts w:hint="eastAsia" w:ascii="方正魏碑_GBK" w:hAnsi="方正魏碑_GBK" w:eastAsia="方正魏碑_GBK" w:cs="方正魏碑_GBK"/>
          <w:shd w:val="clear" w:color="auto" w:fill="FFFFFF"/>
        </w:rPr>
        <w:t>，厂址为</w:t>
      </w:r>
      <w:r>
        <w:rPr>
          <w:rStyle w:val="33"/>
          <w:rFonts w:hint="eastAsia" w:ascii="方正魏碑_GBK" w:hAnsi="方正魏碑_GBK" w:eastAsia="方正魏碑_GBK" w:cs="方正魏碑_GBK"/>
          <w:u w:val="single"/>
          <w:shd w:val="clear" w:color="auto" w:fill="FFFFFF"/>
        </w:rPr>
        <w:t>（生产厂址）</w:t>
      </w:r>
      <w:r>
        <w:rPr>
          <w:rFonts w:hint="eastAsia" w:ascii="方正魏碑_GBK" w:hAnsi="方正魏碑_GBK" w:eastAsia="方正魏碑_GBK" w:cs="方正魏碑_GBK"/>
          <w:shd w:val="clear" w:color="auto" w:fill="FFFFFF"/>
        </w:rPr>
        <w:t>。</w:t>
      </w:r>
      <w:r>
        <w:rPr>
          <w:rStyle w:val="33"/>
          <w:rFonts w:hint="eastAsia" w:ascii="方正魏碑_GBK" w:hAnsi="方正魏碑_GBK" w:eastAsia="方正魏碑_GBK" w:cs="方正魏碑_GBK"/>
          <w:u w:val="single"/>
          <w:shd w:val="clear" w:color="auto" w:fill="FFFFFF"/>
        </w:rPr>
        <w:t>（产品名称2）</w:t>
      </w:r>
      <w:r>
        <w:rPr>
          <w:rFonts w:hint="eastAsia" w:ascii="方正魏碑_GBK" w:hAnsi="方正魏碑_GBK" w:eastAsia="方正魏碑_GBK" w:cs="方正魏碑_GBK"/>
          <w:shd w:val="clear" w:color="auto" w:fill="FFFFFF"/>
        </w:rPr>
        <w:t>的中国境内生产的组件成本占比≥</w:t>
      </w:r>
      <w:r>
        <w:rPr>
          <w:rStyle w:val="33"/>
          <w:rFonts w:hint="eastAsia" w:ascii="方正魏碑_GBK" w:hAnsi="方正魏碑_GBK" w:eastAsia="方正魏碑_GBK" w:cs="方正魏碑_GBK"/>
          <w:u w:val="single"/>
          <w:shd w:val="clear" w:color="auto" w:fill="FFFFFF"/>
        </w:rPr>
        <w:t>（规定</w:t>
      </w:r>
      <w:r>
        <w:rPr>
          <w:rStyle w:val="33"/>
          <w:rFonts w:ascii="方正魏碑_GBK" w:hAnsi="方正魏碑_GBK" w:eastAsia="方正魏碑_GBK" w:cs="方正魏碑_GBK"/>
          <w:u w:val="single"/>
          <w:shd w:val="clear" w:color="auto" w:fill="FFFFFF"/>
        </w:rPr>
        <w:t>比例</w:t>
      </w:r>
      <w:r>
        <w:rPr>
          <w:rStyle w:val="33"/>
          <w:rFonts w:hint="eastAsia" w:ascii="方正魏碑_GBK" w:hAnsi="方正魏碑_GBK" w:eastAsia="方正魏碑_GBK" w:cs="方正魏碑_GBK"/>
          <w:u w:val="single"/>
          <w:shd w:val="clear" w:color="auto" w:fill="FFFFFF"/>
        </w:rPr>
        <w:t>）</w:t>
      </w:r>
      <w:r>
        <w:rPr>
          <w:rFonts w:hint="eastAsia" w:ascii="方正魏碑_GBK" w:hAnsi="方正魏碑_GBK" w:eastAsia="方正魏碑_GBK" w:cs="方正魏碑_GBK"/>
          <w:shd w:val="clear" w:color="auto" w:fill="FFFFFF"/>
        </w:rPr>
        <w:t>。</w:t>
      </w:r>
      <w:r>
        <w:rPr>
          <w:rStyle w:val="33"/>
          <w:rFonts w:hint="eastAsia" w:ascii="方正魏碑_GBK" w:hAnsi="方正魏碑_GBK" w:eastAsia="方正魏碑_GBK" w:cs="方正魏碑_GBK"/>
          <w:u w:val="single"/>
          <w:shd w:val="clear" w:color="auto" w:fill="FFFFFF"/>
        </w:rPr>
        <w:t>（产品名称2）</w:t>
      </w:r>
      <w:r>
        <w:rPr>
          <w:rFonts w:hint="eastAsia" w:ascii="方正魏碑_GBK" w:hAnsi="方正魏碑_GBK" w:eastAsia="方正魏碑_GBK" w:cs="方正魏碑_GBK"/>
          <w:shd w:val="clear" w:color="auto" w:fill="FFFFFF"/>
        </w:rPr>
        <w:t>的</w:t>
      </w:r>
      <w:r>
        <w:rPr>
          <w:rStyle w:val="33"/>
          <w:rFonts w:hint="eastAsia" w:ascii="方正魏碑_GBK" w:hAnsi="方正魏碑_GBK" w:eastAsia="方正魏碑_GBK" w:cs="方正魏碑_GBK"/>
          <w:u w:val="single"/>
          <w:shd w:val="clear" w:color="auto" w:fill="FFFFFF"/>
        </w:rPr>
        <w:t>（关键</w:t>
      </w:r>
      <w:r>
        <w:rPr>
          <w:rStyle w:val="33"/>
          <w:rFonts w:ascii="方正魏碑_GBK" w:hAnsi="方正魏碑_GBK" w:eastAsia="方正魏碑_GBK" w:cs="方正魏碑_GBK"/>
          <w:u w:val="single"/>
          <w:shd w:val="clear" w:color="auto" w:fill="FFFFFF"/>
        </w:rPr>
        <w:t>组件</w:t>
      </w:r>
      <w:r>
        <w:rPr>
          <w:rStyle w:val="33"/>
          <w:rFonts w:hint="eastAsia" w:ascii="方正魏碑_GBK" w:hAnsi="方正魏碑_GBK" w:eastAsia="方正魏碑_GBK" w:cs="方正魏碑_GBK"/>
          <w:u w:val="single"/>
          <w:shd w:val="clear" w:color="auto" w:fill="FFFFFF"/>
        </w:rPr>
        <w:t>）</w:t>
      </w:r>
      <w:r>
        <w:rPr>
          <w:rFonts w:hint="eastAsia" w:ascii="方正魏碑_GBK" w:hAnsi="方正魏碑_GBK" w:eastAsia="方正魏碑_GBK" w:cs="方正魏碑_GBK"/>
          <w:shd w:val="clear" w:color="auto" w:fill="FFFFFF"/>
        </w:rPr>
        <w:t>在中国境内生产。</w:t>
      </w:r>
      <w:r>
        <w:rPr>
          <w:rStyle w:val="33"/>
          <w:rFonts w:hint="eastAsia" w:ascii="方正魏碑_GBK" w:hAnsi="方正魏碑_GBK" w:eastAsia="方正魏碑_GBK" w:cs="方正魏碑_GBK"/>
          <w:u w:val="single"/>
          <w:shd w:val="clear" w:color="auto" w:fill="FFFFFF"/>
        </w:rPr>
        <w:t>（产品名称1）</w:t>
      </w:r>
      <w:r>
        <w:rPr>
          <w:rFonts w:hint="eastAsia" w:ascii="方正魏碑_GBK" w:hAnsi="方正魏碑_GBK" w:eastAsia="方正魏碑_GBK" w:cs="方正魏碑_GBK"/>
          <w:shd w:val="clear" w:color="auto" w:fill="FFFFFF"/>
        </w:rPr>
        <w:t>的</w:t>
      </w:r>
      <w:r>
        <w:rPr>
          <w:rStyle w:val="33"/>
          <w:rFonts w:hint="eastAsia" w:ascii="方正魏碑_GBK" w:hAnsi="方正魏碑_GBK" w:eastAsia="方正魏碑_GBK" w:cs="方正魏碑_GBK"/>
          <w:u w:val="single"/>
          <w:shd w:val="clear" w:color="auto" w:fill="FFFFFF"/>
        </w:rPr>
        <w:t>（关键工序）</w:t>
      </w:r>
      <w:r>
        <w:rPr>
          <w:rFonts w:hint="eastAsia" w:ascii="方正魏碑_GBK" w:hAnsi="方正魏碑_GBK" w:eastAsia="方正魏碑_GBK" w:cs="方正魏碑_GBK"/>
          <w:shd w:val="clear" w:color="auto" w:fill="FFFFFF"/>
        </w:rPr>
        <w:t>在中国境内完成。</w:t>
      </w:r>
    </w:p>
    <w:p w14:paraId="2805B837">
      <w:pPr>
        <w:pStyle w:val="24"/>
        <w:spacing w:before="30" w:beforeAutospacing="0" w:after="30" w:afterAutospacing="0" w:line="0" w:lineRule="atLeast"/>
        <w:ind w:firstLine="420"/>
        <w:rPr>
          <w:rFonts w:ascii="方正魏碑_GBK" w:hAnsi="方正魏碑_GBK" w:eastAsia="方正魏碑_GBK" w:cs="方正魏碑_GBK"/>
        </w:rPr>
      </w:pPr>
      <w:r>
        <w:rPr>
          <w:rFonts w:hint="eastAsia" w:ascii="方正魏碑_GBK" w:hAnsi="方正魏碑_GBK" w:eastAsia="方正魏碑_GBK" w:cs="方正魏碑_GBK"/>
          <w:shd w:val="clear" w:color="auto" w:fill="FFFFFF"/>
        </w:rPr>
        <w:t>……</w:t>
      </w:r>
    </w:p>
    <w:p w14:paraId="42A38CD5">
      <w:pPr>
        <w:pStyle w:val="24"/>
        <w:spacing w:before="30" w:beforeAutospacing="0" w:after="30" w:afterAutospacing="0" w:line="0" w:lineRule="atLeast"/>
        <w:ind w:firstLine="420"/>
        <w:rPr>
          <w:rFonts w:ascii="方正魏碑_GBK" w:hAnsi="方正魏碑_GBK" w:eastAsia="方正魏碑_GBK" w:cs="方正魏碑_GBK"/>
        </w:rPr>
      </w:pPr>
      <w:r>
        <w:rPr>
          <w:rFonts w:hint="eastAsia" w:ascii="方正魏碑_GBK" w:hAnsi="方正魏碑_GBK" w:eastAsia="方正魏碑_GBK" w:cs="方正魏碑_GBK"/>
          <w:shd w:val="clear" w:color="auto" w:fill="FFFFFF"/>
        </w:rPr>
        <w:t>本公司（单位）对上述声明内容的真实性负责。如有虚假，愿承担相应法律责任。</w:t>
      </w:r>
    </w:p>
    <w:p w14:paraId="00657D00">
      <w:pPr>
        <w:pStyle w:val="24"/>
        <w:spacing w:before="30" w:beforeAutospacing="0" w:after="30" w:afterAutospacing="0" w:line="0" w:lineRule="atLeast"/>
        <w:rPr>
          <w:rFonts w:ascii="方正魏碑_GBK" w:hAnsi="方正魏碑_GBK" w:eastAsia="方正魏碑_GBK" w:cs="方正魏碑_GBK"/>
        </w:rPr>
      </w:pPr>
    </w:p>
    <w:p w14:paraId="5F22D097">
      <w:pPr>
        <w:pStyle w:val="24"/>
        <w:spacing w:before="30" w:beforeAutospacing="0" w:after="30" w:afterAutospacing="0" w:line="0" w:lineRule="atLeast"/>
        <w:ind w:right="480" w:firstLine="3720" w:firstLineChars="1550"/>
        <w:rPr>
          <w:rFonts w:ascii="方正魏碑_GBK" w:hAnsi="方正魏碑_GBK" w:eastAsia="方正魏碑_GBK" w:cs="方正魏碑_GBK"/>
        </w:rPr>
      </w:pPr>
      <w:r>
        <w:rPr>
          <w:rFonts w:hint="eastAsia" w:ascii="方正魏碑_GBK" w:hAnsi="方正魏碑_GBK" w:eastAsia="方正魏碑_GBK" w:cs="方正魏碑_GBK"/>
          <w:shd w:val="clear" w:color="auto" w:fill="FFFFFF"/>
        </w:rPr>
        <w:t>公司（单位）名称（盖章）：　        </w:t>
      </w:r>
    </w:p>
    <w:p w14:paraId="66FBFCD4">
      <w:pPr>
        <w:pStyle w:val="24"/>
        <w:spacing w:before="30" w:beforeAutospacing="0" w:after="30" w:afterAutospacing="0" w:line="0" w:lineRule="atLeast"/>
        <w:jc w:val="center"/>
        <w:rPr>
          <w:rFonts w:ascii="方正魏碑_GBK" w:hAnsi="方正魏碑_GBK" w:eastAsia="方正魏碑_GBK" w:cs="方正魏碑_GBK"/>
        </w:rPr>
      </w:pPr>
      <w:r>
        <w:rPr>
          <w:rFonts w:hint="eastAsia" w:ascii="方正魏碑_GBK" w:hAnsi="方正魏碑_GBK" w:eastAsia="方正魏碑_GBK" w:cs="方正魏碑_GBK"/>
          <w:shd w:val="clear" w:color="auto" w:fill="FFFFFF"/>
        </w:rPr>
        <w:t xml:space="preserve">                    </w:t>
      </w:r>
      <w:r>
        <w:rPr>
          <w:rFonts w:ascii="方正魏碑_GBK" w:hAnsi="方正魏碑_GBK" w:eastAsia="方正魏碑_GBK" w:cs="方正魏碑_GBK"/>
          <w:shd w:val="clear" w:color="auto" w:fill="FFFFFF"/>
        </w:rPr>
        <w:t xml:space="preserve">            </w:t>
      </w:r>
      <w:r>
        <w:rPr>
          <w:rFonts w:hint="eastAsia" w:ascii="方正魏碑_GBK" w:hAnsi="方正魏碑_GBK" w:eastAsia="方正魏碑_GBK" w:cs="方正魏碑_GBK"/>
          <w:shd w:val="clear" w:color="auto" w:fill="FFFFFF"/>
        </w:rPr>
        <w:t>日期：　   年　  月　  日         </w:t>
      </w:r>
    </w:p>
    <w:p w14:paraId="12C7D3C4">
      <w:pPr>
        <w:pStyle w:val="24"/>
        <w:spacing w:before="30" w:beforeAutospacing="0" w:after="30" w:afterAutospacing="0" w:line="0" w:lineRule="atLeast"/>
        <w:rPr>
          <w:rFonts w:ascii="方正魏碑_GBK" w:hAnsi="方正魏碑_GBK" w:eastAsia="方正魏碑_GBK" w:cs="方正魏碑_GBK"/>
        </w:rPr>
      </w:pPr>
      <w:r>
        <w:rPr>
          <w:rFonts w:hint="eastAsia" w:ascii="方正魏碑_GBK" w:hAnsi="方正魏碑_GBK" w:eastAsia="方正魏碑_GBK" w:cs="方正魏碑_GBK"/>
          <w:shd w:val="clear" w:color="auto" w:fill="FFFFFF"/>
        </w:rPr>
        <w:t>__________________</w:t>
      </w:r>
    </w:p>
    <w:p w14:paraId="7E9CF58B">
      <w:pPr>
        <w:pStyle w:val="24"/>
        <w:spacing w:before="30" w:beforeAutospacing="0" w:after="30" w:afterAutospacing="0" w:line="0" w:lineRule="atLeast"/>
        <w:rPr>
          <w:rFonts w:ascii="方正魏碑_GBK" w:hAnsi="方正魏碑_GBK" w:eastAsia="方正魏碑_GBK" w:cs="方正魏碑_GBK"/>
          <w:sz w:val="22"/>
        </w:rPr>
      </w:pPr>
      <w:r>
        <w:rPr>
          <w:rFonts w:hint="eastAsia" w:ascii="方正魏碑_GBK" w:hAnsi="方正魏碑_GBK" w:eastAsia="方正魏碑_GBK" w:cs="方正魏碑_GBK"/>
          <w:sz w:val="22"/>
          <w:shd w:val="clear" w:color="auto" w:fill="FFFFFF"/>
        </w:rPr>
        <w:t>1.产品如有型号，请在“产品名称”栏一并填写。</w:t>
      </w:r>
    </w:p>
    <w:p w14:paraId="5200E496">
      <w:pPr>
        <w:pStyle w:val="24"/>
        <w:spacing w:before="30" w:beforeAutospacing="0" w:after="30" w:afterAutospacing="0" w:line="0" w:lineRule="atLeast"/>
        <w:rPr>
          <w:rFonts w:ascii="方正魏碑_GBK" w:hAnsi="方正魏碑_GBK" w:eastAsia="方正魏碑_GBK" w:cs="方正魏碑_GBK"/>
          <w:sz w:val="22"/>
        </w:rPr>
      </w:pPr>
      <w:r>
        <w:rPr>
          <w:rFonts w:hint="eastAsia" w:ascii="方正魏碑_GBK" w:hAnsi="方正魏碑_GBK" w:eastAsia="方正魏碑_GBK" w:cs="方正魏碑_GBK"/>
          <w:sz w:val="22"/>
          <w:shd w:val="clear" w:color="auto" w:fill="FFFFFF"/>
        </w:rPr>
        <w:t>2.生产厂名与厂址应与生产厂营业执照载明的相关信息保持一致。</w:t>
      </w:r>
    </w:p>
    <w:p w14:paraId="0330D7E4">
      <w:pPr>
        <w:pStyle w:val="24"/>
        <w:spacing w:before="30" w:beforeAutospacing="0" w:after="30" w:afterAutospacing="0" w:line="0" w:lineRule="atLeast"/>
        <w:rPr>
          <w:rFonts w:ascii="方正魏碑_GBK" w:hAnsi="方正魏碑_GBK" w:eastAsia="方正魏碑_GBK" w:cs="方正魏碑_GBK"/>
          <w:sz w:val="22"/>
        </w:rPr>
      </w:pPr>
      <w:r>
        <w:rPr>
          <w:rFonts w:hint="eastAsia" w:ascii="方正魏碑_GBK" w:hAnsi="方正魏碑_GBK" w:eastAsia="方正魏碑_GBK" w:cs="方正魏碑_GBK"/>
          <w:sz w:val="22"/>
          <w:shd w:val="clear" w:color="auto" w:fill="FFFFFF"/>
        </w:rPr>
        <w:t>3.该产品的中国境内生产的组件成本占比相关要求实施前，“规定比例”栏可不填，下同。</w:t>
      </w:r>
    </w:p>
    <w:p w14:paraId="43475A90">
      <w:pPr>
        <w:pStyle w:val="24"/>
        <w:spacing w:before="30" w:beforeAutospacing="0" w:after="30" w:afterAutospacing="0" w:line="0" w:lineRule="atLeast"/>
        <w:rPr>
          <w:rFonts w:ascii="方正魏碑_GBK" w:hAnsi="方正魏碑_GBK" w:eastAsia="方正魏碑_GBK" w:cs="方正魏碑_GBK"/>
          <w:sz w:val="22"/>
        </w:rPr>
      </w:pPr>
      <w:r>
        <w:rPr>
          <w:rFonts w:hint="eastAsia" w:ascii="方正魏碑_GBK" w:hAnsi="方正魏碑_GBK" w:eastAsia="方正魏碑_GBK" w:cs="方正魏碑_GBK"/>
          <w:sz w:val="22"/>
          <w:shd w:val="clear" w:color="auto" w:fill="FFFFFF"/>
        </w:rPr>
        <w:t>4.该产品的关键组件要求实施前，“关键组件”栏可不填，下同。</w:t>
      </w:r>
    </w:p>
    <w:p w14:paraId="704AD767">
      <w:pPr>
        <w:pStyle w:val="24"/>
        <w:spacing w:before="30" w:beforeAutospacing="0" w:after="30" w:afterAutospacing="0" w:line="0" w:lineRule="atLeast"/>
        <w:rPr>
          <w:rFonts w:ascii="方正魏碑_GBK" w:hAnsi="方正魏碑_GBK" w:eastAsia="方正魏碑_GBK" w:cs="方正魏碑_GBK"/>
          <w:sz w:val="22"/>
          <w:shd w:val="clear" w:color="auto" w:fill="FFFFFF"/>
        </w:rPr>
      </w:pPr>
      <w:r>
        <w:rPr>
          <w:rFonts w:hint="eastAsia" w:ascii="方正魏碑_GBK" w:hAnsi="方正魏碑_GBK" w:eastAsia="方正魏碑_GBK" w:cs="方正魏碑_GBK"/>
          <w:sz w:val="22"/>
          <w:shd w:val="clear" w:color="auto" w:fill="FFFFFF"/>
        </w:rPr>
        <w:t>5.该产品的关键工序要求实施前，“关键工序”栏可不填，下同。</w:t>
      </w:r>
    </w:p>
    <w:p w14:paraId="565F70B5">
      <w:pPr>
        <w:pStyle w:val="24"/>
        <w:spacing w:before="30" w:beforeAutospacing="0" w:after="30" w:afterAutospacing="0" w:line="0" w:lineRule="atLeast"/>
        <w:rPr>
          <w:rFonts w:ascii="方正魏碑_GBK" w:hAnsi="方正魏碑_GBK" w:eastAsia="方正魏碑_GBK" w:cs="方正魏碑_GBK"/>
          <w:sz w:val="22"/>
          <w:shd w:val="clear" w:color="auto" w:fill="FFFFFF"/>
        </w:rPr>
      </w:pPr>
      <w:r>
        <w:rPr>
          <w:rFonts w:hint="eastAsia" w:ascii="方正魏碑_GBK" w:hAnsi="方正魏碑_GBK" w:eastAsia="方正魏碑_GBK" w:cs="方正魏碑_GBK"/>
          <w:sz w:val="22"/>
          <w:shd w:val="clear" w:color="auto" w:fill="FFFFFF"/>
        </w:rPr>
        <w:t>6.用斜线划除的地方无需填写。</w:t>
      </w:r>
    </w:p>
    <w:p w14:paraId="5737BF38">
      <w:pPr>
        <w:pStyle w:val="11"/>
        <w:kinsoku w:val="0"/>
        <w:overflowPunct w:val="0"/>
        <w:spacing w:after="0" w:line="360" w:lineRule="auto"/>
        <w:ind w:firstLine="420" w:firstLineChars="200"/>
        <w:rPr>
          <w:rFonts w:ascii="Times New Roman" w:hAnsi="Times New Roman" w:cs="Times New Roman"/>
          <w:color w:val="000000" w:themeColor="text1"/>
          <w14:textFill>
            <w14:solidFill>
              <w14:schemeClr w14:val="tx1"/>
            </w14:solidFill>
          </w14:textFill>
        </w:rPr>
      </w:pPr>
    </w:p>
    <w:p w14:paraId="78777DE4">
      <w:pPr>
        <w:spacing w:line="360" w:lineRule="auto"/>
        <w:ind w:firstLine="420" w:firstLineChars="200"/>
        <w:rPr>
          <w:rFonts w:ascii="Times New Roman" w:hAnsi="Times New Roman" w:eastAsia="宋体" w:cs="Times New Roman"/>
          <w:color w:val="000000" w:themeColor="text1"/>
          <w:szCs w:val="21"/>
          <w:u w:color="FF0000"/>
          <w14:textFill>
            <w14:solidFill>
              <w14:schemeClr w14:val="tx1"/>
            </w14:solidFill>
          </w14:textFill>
        </w:rPr>
      </w:pPr>
    </w:p>
    <w:p w14:paraId="415A3F2D">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p>
    <w:p w14:paraId="2C48FE45">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p>
    <w:bookmarkEnd w:id="65"/>
    <w:bookmarkEnd w:id="66"/>
    <w:bookmarkEnd w:id="67"/>
    <w:bookmarkEnd w:id="68"/>
    <w:p w14:paraId="12B6DCDC">
      <w:pPr>
        <w:spacing w:line="360" w:lineRule="auto"/>
        <w:ind w:firstLine="480" w:firstLineChars="200"/>
        <w:rPr>
          <w:rFonts w:ascii="Times New Roman" w:hAnsi="Times New Roman" w:eastAsia="宋体" w:cs="Times New Roman"/>
          <w:color w:val="000000" w:themeColor="text1"/>
          <w:sz w:val="24"/>
          <w:szCs w:val="24"/>
          <w:u w:color="FF0000"/>
          <w14:textFill>
            <w14:solidFill>
              <w14:schemeClr w14:val="tx1"/>
            </w14:solidFill>
          </w14:textFill>
        </w:rPr>
      </w:pPr>
    </w:p>
    <w:p w14:paraId="713AB844">
      <w:pPr>
        <w:jc w:val="left"/>
        <w:rPr>
          <w:rFonts w:ascii="Times New Roman" w:hAnsi="Times New Roman" w:eastAsia="黑体" w:cs="Times New Roman"/>
          <w:color w:val="000000" w:themeColor="text1"/>
          <w:sz w:val="24"/>
          <w:szCs w:val="24"/>
          <w:u w:color="000000"/>
          <w14:textFill>
            <w14:solidFill>
              <w14:schemeClr w14:val="tx1"/>
            </w14:solidFill>
          </w14:textFill>
        </w:rPr>
      </w:pPr>
    </w:p>
    <w:sectPr>
      <w:headerReference r:id="rId7" w:type="default"/>
      <w:footerReference r:id="rId8" w:type="default"/>
      <w:pgSz w:w="11906" w:h="16838"/>
      <w:pgMar w:top="1418" w:right="1418" w:bottom="1474" w:left="1701"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38607A2-1C1B-4AE1-B040-5F6ABBE41E23}"/>
  </w:font>
  <w:font w:name="Arial">
    <w:panose1 w:val="020B0604020202020204"/>
    <w:charset w:val="01"/>
    <w:family w:val="swiss"/>
    <w:pitch w:val="default"/>
    <w:sig w:usb0="E0002EFF" w:usb1="C000785B" w:usb2="00000009" w:usb3="00000000" w:csb0="400001FF" w:csb1="FFFF0000"/>
    <w:embedRegular r:id="rId2" w:fontKey="{C8DFC8F3-5C0C-4E35-A648-BC04875A1632}"/>
  </w:font>
  <w:font w:name="黑体">
    <w:panose1 w:val="02010609060101010101"/>
    <w:charset w:val="86"/>
    <w:family w:val="auto"/>
    <w:pitch w:val="default"/>
    <w:sig w:usb0="800002BF" w:usb1="38CF7CFA" w:usb2="00000016" w:usb3="00000000" w:csb0="00040001" w:csb1="00000000"/>
    <w:embedRegular r:id="rId3" w:fontKey="{7CF2D711-6954-4DC1-88DE-E801BE0901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84E0B043-F82F-40B8-B4A2-15C21E6FCF75}"/>
  </w:font>
  <w:font w:name="楷体_GB2312">
    <w:altName w:val="楷体"/>
    <w:panose1 w:val="00000000000000000000"/>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200247B" w:usb2="00000009" w:usb3="00000000" w:csb0="200001FF" w:csb1="00000000"/>
    <w:embedRegular r:id="rId5" w:fontKey="{7F6A6C72-7C93-422E-8965-58DC979FEDB2}"/>
  </w:font>
  <w:font w:name="Arial Unicode MS">
    <w:panose1 w:val="020B0604020202020204"/>
    <w:charset w:val="86"/>
    <w:family w:val="roman"/>
    <w:pitch w:val="default"/>
    <w:sig w:usb0="FFFFFFFF" w:usb1="E9FFFFFF" w:usb2="0000003F" w:usb3="00000000" w:csb0="603F01FF" w:csb1="FFFF0000"/>
    <w:embedRegular r:id="rId6" w:fontKey="{86BC9F4F-77DA-4DA6-9BC1-3A46DC5CB02F}"/>
  </w:font>
  <w:font w:name="方正兰亭黑简体">
    <w:altName w:val="黑体"/>
    <w:panose1 w:val="00000000000000000000"/>
    <w:charset w:val="86"/>
    <w:family w:val="auto"/>
    <w:pitch w:val="default"/>
    <w:sig w:usb0="00000000" w:usb1="00000000" w:usb2="00000012"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7" w:fontKey="{C064D7E0-4968-4889-A7B8-36A13F9D9C85}"/>
  </w:font>
  <w:font w:name="仿宋_GB2312">
    <w:altName w:val="仿宋"/>
    <w:panose1 w:val="02010609030101010101"/>
    <w:charset w:val="86"/>
    <w:family w:val="modern"/>
    <w:pitch w:val="default"/>
    <w:sig w:usb0="00000000" w:usb1="00000000" w:usb2="00000010" w:usb3="00000000" w:csb0="00040000" w:csb1="00000000"/>
    <w:embedRegular r:id="rId8" w:fontKey="{4267B9AC-29B4-4E8D-B871-FE02DE1B67F3}"/>
  </w:font>
  <w:font w:name="方正仿宋_GB2312">
    <w:panose1 w:val="02000000000000000000"/>
    <w:charset w:val="86"/>
    <w:family w:val="auto"/>
    <w:pitch w:val="default"/>
    <w:sig w:usb0="A00002BF" w:usb1="184F6CFA" w:usb2="00000012" w:usb3="00000000" w:csb0="00040001" w:csb1="00000000"/>
    <w:embedRegular r:id="rId9" w:fontKey="{37825B2A-8EB9-446D-9A6D-34CBA0450235}"/>
  </w:font>
  <w:font w:name="PMingLiU">
    <w:altName w:val="Microsoft JhengHei UI"/>
    <w:panose1 w:val="02010601000101010101"/>
    <w:charset w:val="88"/>
    <w:family w:val="auto"/>
    <w:pitch w:val="default"/>
    <w:sig w:usb0="00000000" w:usb1="00000000" w:usb2="00000010" w:usb3="00000000" w:csb0="00100000" w:csb1="00000000"/>
    <w:embedRegular r:id="rId10" w:fontKey="{7736ECC2-6914-4E2A-8A10-961DC6DC45DD}"/>
  </w:font>
  <w:font w:name="Times New Roman Bold">
    <w:altName w:val="Times New Roman"/>
    <w:panose1 w:val="02020803070505020304"/>
    <w:charset w:val="00"/>
    <w:family w:val="auto"/>
    <w:pitch w:val="default"/>
    <w:sig w:usb0="00000000" w:usb1="00000000" w:usb2="00000001" w:usb3="00000000" w:csb0="400001BF" w:csb1="DFF70000"/>
    <w:embedRegular r:id="rId11" w:fontKey="{4971311E-A4A3-4C76-962F-42A049356F49}"/>
  </w:font>
  <w:font w:name="方正小标宋简体">
    <w:panose1 w:val="02000000000000000000"/>
    <w:charset w:val="86"/>
    <w:family w:val="auto"/>
    <w:pitch w:val="default"/>
    <w:sig w:usb0="00000001" w:usb1="08000000" w:usb2="00000000" w:usb3="00000000" w:csb0="00040000" w:csb1="00000000"/>
    <w:embedRegular r:id="rId12" w:fontKey="{028A7822-FACE-474E-8680-EC8CDA4D7F25}"/>
  </w:font>
  <w:font w:name="方正魏碑_GBK">
    <w:altName w:val="宋体"/>
    <w:panose1 w:val="00000000000000000000"/>
    <w:charset w:val="86"/>
    <w:family w:val="script"/>
    <w:pitch w:val="default"/>
    <w:sig w:usb0="00000000" w:usb1="00000000" w:usb2="00000010" w:usb3="00000000" w:csb0="00040000" w:csb1="00000000"/>
    <w:embedRegular r:id="rId13" w:fontKey="{0013C01F-1216-42A2-9D36-5611CAE4606F}"/>
  </w:font>
  <w:font w:name="楷体">
    <w:panose1 w:val="02010609060101010101"/>
    <w:charset w:val="86"/>
    <w:family w:val="auto"/>
    <w:pitch w:val="default"/>
    <w:sig w:usb0="800002BF" w:usb1="38CF7CFA" w:usb2="00000016" w:usb3="00000000" w:csb0="0004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FBAAD">
    <w:pPr>
      <w:pStyle w:val="19"/>
      <w:jc w:val="center"/>
      <w:rPr>
        <w:rFonts w:ascii="Times New Roman" w:hAnsi="Times New Roman" w:cs="Times New Roman"/>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26E07">
    <w:pPr>
      <w:pStyle w:val="19"/>
      <w:jc w:val="center"/>
      <w:rPr>
        <w:rFonts w:ascii="Times New Roman" w:hAnsi="Times New Roman" w:cs="Times New Roman"/>
        <w:sz w:val="21"/>
        <w:szCs w:val="21"/>
      </w:rPr>
    </w:pPr>
    <w:r>
      <w:rPr>
        <w:rFonts w:ascii="Times New Roman" w:hAnsi="Times New Roman" w:cs="Times New Roman"/>
        <w:sz w:val="21"/>
        <w:szCs w:val="21"/>
      </w:rPr>
      <w:t>第</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Arabic  \* MERGEFORMAT </w:instrText>
    </w:r>
    <w:r>
      <w:rPr>
        <w:rFonts w:ascii="Times New Roman" w:hAnsi="Times New Roman" w:cs="Times New Roman"/>
        <w:sz w:val="21"/>
        <w:szCs w:val="21"/>
      </w:rPr>
      <w:fldChar w:fldCharType="separate"/>
    </w:r>
    <w:r>
      <w:rPr>
        <w:rFonts w:ascii="Times New Roman" w:hAnsi="Times New Roman" w:cs="Times New Roman"/>
        <w:sz w:val="21"/>
        <w:szCs w:val="21"/>
      </w:rPr>
      <w:t>55</w:t>
    </w:r>
    <w:r>
      <w:rPr>
        <w:rFonts w:ascii="Times New Roman" w:hAnsi="Times New Roman" w:cs="Times New Roman"/>
        <w:sz w:val="21"/>
        <w:szCs w:val="21"/>
      </w:rPr>
      <w:fldChar w:fldCharType="end"/>
    </w:r>
    <w:r>
      <w:rPr>
        <w:rFonts w:ascii="Times New Roman" w:hAnsi="Times New Roman" w:cs="Times New Roman"/>
        <w:sz w:val="21"/>
        <w:szCs w:val="21"/>
      </w:rPr>
      <w:t>页</w:t>
    </w:r>
  </w:p>
  <w:p w14:paraId="2F638A5B"/>
  <w:p w14:paraId="79AF9DB0"/>
  <w:p w14:paraId="12F3568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EBEFC">
    <w:pPr>
      <w:pStyle w:val="2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59CE0">
    <w:pPr>
      <w:pStyle w:val="20"/>
      <w:jc w:val="right"/>
    </w:pPr>
    <w:r>
      <w:rPr>
        <w:rFonts w:hint="eastAsia"/>
        <w:sz w:val="21"/>
        <w:szCs w:val="21"/>
      </w:rPr>
      <w:t>南京机电职业技术学院医务室第三方托管服务项目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9C6CB">
    <w:pPr>
      <w:pStyle w:val="20"/>
      <w:pBdr>
        <w:bottom w:val="none" w:color="auto" w:sz="0" w:space="1"/>
      </w:pBdr>
      <w:jc w:val="right"/>
      <w:rPr>
        <w:rFonts w:ascii="Times New Roman" w:hAnsi="Times New Roman" w:cs="Times New Roman"/>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86EAF">
    <w:pPr>
      <w:pStyle w:val="27"/>
      <w:pBdr>
        <w:bottom w:val="single" w:color="auto" w:sz="4" w:space="0"/>
      </w:pBdr>
      <w:ind w:firstLine="0" w:firstLineChars="0"/>
      <w:jc w:val="right"/>
      <w:rPr>
        <w:rFonts w:hint="eastAsia" w:eastAsiaTheme="minorEastAsia"/>
        <w:lang w:val="en-US" w:eastAsia="zh-CN"/>
      </w:rPr>
    </w:pPr>
    <w:r>
      <w:rPr>
        <w:rFonts w:hint="eastAsia" w:asciiTheme="minorEastAsia" w:hAnsiTheme="minorEastAsia" w:eastAsiaTheme="minorEastAsia" w:cstheme="minorEastAsia"/>
        <w:sz w:val="21"/>
        <w:szCs w:val="21"/>
      </w:rPr>
      <w:t>南京机电职业技术学院医务室第三方托管服务项目</w:t>
    </w:r>
    <w:r>
      <w:rPr>
        <w:rFonts w:hint="eastAsia" w:asciiTheme="minorEastAsia" w:hAnsiTheme="minorEastAsia" w:eastAsiaTheme="minorEastAsia" w:cstheme="minorEastAsia"/>
        <w:sz w:val="21"/>
        <w:szCs w:val="21"/>
        <w:lang w:val="en-US" w:eastAsia="zh-CN"/>
      </w:rPr>
      <w:t xml:space="preserve"> </w:t>
    </w:r>
  </w:p>
  <w:p w14:paraId="2AC29969"/>
  <w:p w14:paraId="657D83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DDBF6"/>
    <w:multiLevelType w:val="singleLevel"/>
    <w:tmpl w:val="89CDDBF6"/>
    <w:lvl w:ilvl="0" w:tentative="0">
      <w:start w:val="2"/>
      <w:numFmt w:val="chineseCounting"/>
      <w:suff w:val="nothing"/>
      <w:lvlText w:val="%1、"/>
      <w:lvlJc w:val="left"/>
      <w:rPr>
        <w:rFonts w:hint="eastAsia"/>
      </w:rPr>
    </w:lvl>
  </w:abstractNum>
  <w:abstractNum w:abstractNumId="1">
    <w:nsid w:val="AA5FD00A"/>
    <w:multiLevelType w:val="multilevel"/>
    <w:tmpl w:val="AA5FD00A"/>
    <w:lvl w:ilvl="0" w:tentative="0">
      <w:start w:val="1"/>
      <w:numFmt w:val="decimal"/>
      <w:lvlText w:val="%1."/>
      <w:lvlJc w:val="left"/>
      <w:pPr>
        <w:ind w:left="0" w:firstLine="0"/>
      </w:pPr>
    </w:lvl>
    <w:lvl w:ilvl="1" w:tentative="0">
      <w:start w:val="1"/>
      <w:numFmt w:val="decimal"/>
      <w:lvlText w:val="4.%2."/>
      <w:lvlJc w:val="left"/>
      <w:pPr>
        <w:ind w:left="0" w:firstLine="0"/>
      </w:pPr>
    </w:lvl>
    <w:lvl w:ilvl="2" w:tentative="0">
      <w:start w:val="1"/>
      <w:numFmt w:val="none"/>
      <w:pStyle w:val="4"/>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2">
    <w:nsid w:val="F32F7121"/>
    <w:multiLevelType w:val="singleLevel"/>
    <w:tmpl w:val="F32F7121"/>
    <w:lvl w:ilvl="0" w:tentative="0">
      <w:start w:val="4"/>
      <w:numFmt w:val="chineseCounting"/>
      <w:suff w:val="space"/>
      <w:lvlText w:val="第%1章"/>
      <w:lvlJc w:val="left"/>
      <w:rPr>
        <w:rFonts w:hint="eastAsia"/>
      </w:rPr>
    </w:lvl>
  </w:abstractNum>
  <w:abstractNum w:abstractNumId="3">
    <w:nsid w:val="5A1B7943"/>
    <w:multiLevelType w:val="singleLevel"/>
    <w:tmpl w:val="5A1B7943"/>
    <w:lvl w:ilvl="0" w:tentative="0">
      <w:start w:val="14"/>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JlMDE5MWUzNzhmOGUwMTVkMjQ0YzFlNzNlNzg3MmIifQ=="/>
  </w:docVars>
  <w:rsids>
    <w:rsidRoot w:val="00D17229"/>
    <w:rsid w:val="000022EF"/>
    <w:rsid w:val="000045C9"/>
    <w:rsid w:val="000056D9"/>
    <w:rsid w:val="000056E1"/>
    <w:rsid w:val="00006D84"/>
    <w:rsid w:val="00011A73"/>
    <w:rsid w:val="00011C0C"/>
    <w:rsid w:val="00012CB3"/>
    <w:rsid w:val="000132CA"/>
    <w:rsid w:val="000136D5"/>
    <w:rsid w:val="00013C0A"/>
    <w:rsid w:val="00014AA2"/>
    <w:rsid w:val="00015205"/>
    <w:rsid w:val="00015269"/>
    <w:rsid w:val="000156E6"/>
    <w:rsid w:val="0001645A"/>
    <w:rsid w:val="000177AE"/>
    <w:rsid w:val="00020746"/>
    <w:rsid w:val="00021785"/>
    <w:rsid w:val="00022DF9"/>
    <w:rsid w:val="00022EE9"/>
    <w:rsid w:val="000237D1"/>
    <w:rsid w:val="000243B6"/>
    <w:rsid w:val="0002477E"/>
    <w:rsid w:val="00025649"/>
    <w:rsid w:val="000264A7"/>
    <w:rsid w:val="00031DD4"/>
    <w:rsid w:val="0003270F"/>
    <w:rsid w:val="00032BAB"/>
    <w:rsid w:val="00033710"/>
    <w:rsid w:val="00034684"/>
    <w:rsid w:val="00035C7F"/>
    <w:rsid w:val="00040DD0"/>
    <w:rsid w:val="00041331"/>
    <w:rsid w:val="00041F44"/>
    <w:rsid w:val="000430A7"/>
    <w:rsid w:val="0004378F"/>
    <w:rsid w:val="00045328"/>
    <w:rsid w:val="00046859"/>
    <w:rsid w:val="00047409"/>
    <w:rsid w:val="00051255"/>
    <w:rsid w:val="00052F06"/>
    <w:rsid w:val="000549E6"/>
    <w:rsid w:val="00055251"/>
    <w:rsid w:val="000553E1"/>
    <w:rsid w:val="00056359"/>
    <w:rsid w:val="00057F21"/>
    <w:rsid w:val="000609E8"/>
    <w:rsid w:val="00060CBE"/>
    <w:rsid w:val="00061742"/>
    <w:rsid w:val="00063002"/>
    <w:rsid w:val="00063293"/>
    <w:rsid w:val="00064072"/>
    <w:rsid w:val="00066DD2"/>
    <w:rsid w:val="00067E2D"/>
    <w:rsid w:val="00070161"/>
    <w:rsid w:val="000701A2"/>
    <w:rsid w:val="0007027D"/>
    <w:rsid w:val="0007118E"/>
    <w:rsid w:val="00071411"/>
    <w:rsid w:val="00071F66"/>
    <w:rsid w:val="000747D8"/>
    <w:rsid w:val="000750E1"/>
    <w:rsid w:val="00075C4E"/>
    <w:rsid w:val="00080A5F"/>
    <w:rsid w:val="000823B6"/>
    <w:rsid w:val="00082F42"/>
    <w:rsid w:val="0008394A"/>
    <w:rsid w:val="0008439B"/>
    <w:rsid w:val="000847FF"/>
    <w:rsid w:val="00086855"/>
    <w:rsid w:val="00086A8C"/>
    <w:rsid w:val="00087768"/>
    <w:rsid w:val="00090E2D"/>
    <w:rsid w:val="00090E45"/>
    <w:rsid w:val="00090EC0"/>
    <w:rsid w:val="00091794"/>
    <w:rsid w:val="00091A4B"/>
    <w:rsid w:val="00093C43"/>
    <w:rsid w:val="0009742B"/>
    <w:rsid w:val="000977F6"/>
    <w:rsid w:val="000A0BDB"/>
    <w:rsid w:val="000A1113"/>
    <w:rsid w:val="000A1531"/>
    <w:rsid w:val="000A24F8"/>
    <w:rsid w:val="000A28C8"/>
    <w:rsid w:val="000A3A52"/>
    <w:rsid w:val="000A4E80"/>
    <w:rsid w:val="000A5D7F"/>
    <w:rsid w:val="000A731E"/>
    <w:rsid w:val="000B04E1"/>
    <w:rsid w:val="000B0E6D"/>
    <w:rsid w:val="000B15BC"/>
    <w:rsid w:val="000B1A64"/>
    <w:rsid w:val="000B24CB"/>
    <w:rsid w:val="000B2DD9"/>
    <w:rsid w:val="000B5431"/>
    <w:rsid w:val="000B5491"/>
    <w:rsid w:val="000B5784"/>
    <w:rsid w:val="000C0FE1"/>
    <w:rsid w:val="000C4D61"/>
    <w:rsid w:val="000C5960"/>
    <w:rsid w:val="000C62FD"/>
    <w:rsid w:val="000D38EA"/>
    <w:rsid w:val="000D394A"/>
    <w:rsid w:val="000D5167"/>
    <w:rsid w:val="000D51AC"/>
    <w:rsid w:val="000D660A"/>
    <w:rsid w:val="000D667C"/>
    <w:rsid w:val="000E0014"/>
    <w:rsid w:val="000E0616"/>
    <w:rsid w:val="000E1C61"/>
    <w:rsid w:val="000E2443"/>
    <w:rsid w:val="000E405B"/>
    <w:rsid w:val="000E40F0"/>
    <w:rsid w:val="000E4403"/>
    <w:rsid w:val="000E5CA9"/>
    <w:rsid w:val="000F0A11"/>
    <w:rsid w:val="000F1704"/>
    <w:rsid w:val="000F4052"/>
    <w:rsid w:val="000F5248"/>
    <w:rsid w:val="000F6EF7"/>
    <w:rsid w:val="000F7662"/>
    <w:rsid w:val="000F7EFA"/>
    <w:rsid w:val="00101ED5"/>
    <w:rsid w:val="001036C1"/>
    <w:rsid w:val="001041C8"/>
    <w:rsid w:val="00104312"/>
    <w:rsid w:val="0010541F"/>
    <w:rsid w:val="00105CBC"/>
    <w:rsid w:val="001061CB"/>
    <w:rsid w:val="00106D16"/>
    <w:rsid w:val="00106F06"/>
    <w:rsid w:val="00106F9D"/>
    <w:rsid w:val="00110CFB"/>
    <w:rsid w:val="00111131"/>
    <w:rsid w:val="00113BE2"/>
    <w:rsid w:val="00114C94"/>
    <w:rsid w:val="001211A1"/>
    <w:rsid w:val="00122553"/>
    <w:rsid w:val="00122B60"/>
    <w:rsid w:val="0012333F"/>
    <w:rsid w:val="00123621"/>
    <w:rsid w:val="00123AEC"/>
    <w:rsid w:val="00125E7A"/>
    <w:rsid w:val="00126333"/>
    <w:rsid w:val="00126F74"/>
    <w:rsid w:val="001273C6"/>
    <w:rsid w:val="0013188A"/>
    <w:rsid w:val="00134ACB"/>
    <w:rsid w:val="00136831"/>
    <w:rsid w:val="00137345"/>
    <w:rsid w:val="001377E4"/>
    <w:rsid w:val="0014080E"/>
    <w:rsid w:val="0014146B"/>
    <w:rsid w:val="0014307B"/>
    <w:rsid w:val="001435C0"/>
    <w:rsid w:val="0014418D"/>
    <w:rsid w:val="0014448A"/>
    <w:rsid w:val="001473C4"/>
    <w:rsid w:val="00147B5F"/>
    <w:rsid w:val="00147F35"/>
    <w:rsid w:val="001512A0"/>
    <w:rsid w:val="00152247"/>
    <w:rsid w:val="001569ED"/>
    <w:rsid w:val="00157634"/>
    <w:rsid w:val="001624C7"/>
    <w:rsid w:val="00163569"/>
    <w:rsid w:val="00164B11"/>
    <w:rsid w:val="00164C1F"/>
    <w:rsid w:val="00165019"/>
    <w:rsid w:val="0016621E"/>
    <w:rsid w:val="00167CBF"/>
    <w:rsid w:val="001707E4"/>
    <w:rsid w:val="0017171C"/>
    <w:rsid w:val="001717C1"/>
    <w:rsid w:val="00171CA7"/>
    <w:rsid w:val="001724E1"/>
    <w:rsid w:val="001727F4"/>
    <w:rsid w:val="00173B46"/>
    <w:rsid w:val="00174139"/>
    <w:rsid w:val="00175B0A"/>
    <w:rsid w:val="001760AB"/>
    <w:rsid w:val="001769F4"/>
    <w:rsid w:val="001810D4"/>
    <w:rsid w:val="001829DA"/>
    <w:rsid w:val="0018504D"/>
    <w:rsid w:val="001857CA"/>
    <w:rsid w:val="001869BD"/>
    <w:rsid w:val="00187DEC"/>
    <w:rsid w:val="00190DBD"/>
    <w:rsid w:val="00195465"/>
    <w:rsid w:val="00195931"/>
    <w:rsid w:val="00195A65"/>
    <w:rsid w:val="001A049E"/>
    <w:rsid w:val="001A054F"/>
    <w:rsid w:val="001A0F02"/>
    <w:rsid w:val="001A2711"/>
    <w:rsid w:val="001A30E4"/>
    <w:rsid w:val="001A3A05"/>
    <w:rsid w:val="001A5DAF"/>
    <w:rsid w:val="001A5F59"/>
    <w:rsid w:val="001A6AA4"/>
    <w:rsid w:val="001A6D7D"/>
    <w:rsid w:val="001B14D5"/>
    <w:rsid w:val="001B191A"/>
    <w:rsid w:val="001B62C8"/>
    <w:rsid w:val="001B64EA"/>
    <w:rsid w:val="001B6844"/>
    <w:rsid w:val="001C080E"/>
    <w:rsid w:val="001C19FF"/>
    <w:rsid w:val="001C2329"/>
    <w:rsid w:val="001C3002"/>
    <w:rsid w:val="001C403C"/>
    <w:rsid w:val="001C6630"/>
    <w:rsid w:val="001C68A2"/>
    <w:rsid w:val="001C6A24"/>
    <w:rsid w:val="001C724D"/>
    <w:rsid w:val="001D26C9"/>
    <w:rsid w:val="001D2C02"/>
    <w:rsid w:val="001D3655"/>
    <w:rsid w:val="001D40E3"/>
    <w:rsid w:val="001D4F9C"/>
    <w:rsid w:val="001D5505"/>
    <w:rsid w:val="001D6E90"/>
    <w:rsid w:val="001E096F"/>
    <w:rsid w:val="001E2BFC"/>
    <w:rsid w:val="001E5FB5"/>
    <w:rsid w:val="001E6268"/>
    <w:rsid w:val="001E6DF5"/>
    <w:rsid w:val="001E711D"/>
    <w:rsid w:val="001F06C5"/>
    <w:rsid w:val="001F1A04"/>
    <w:rsid w:val="001F3E71"/>
    <w:rsid w:val="001F5348"/>
    <w:rsid w:val="001F553F"/>
    <w:rsid w:val="002022F4"/>
    <w:rsid w:val="00203626"/>
    <w:rsid w:val="002043C9"/>
    <w:rsid w:val="00204F29"/>
    <w:rsid w:val="00205156"/>
    <w:rsid w:val="002060D9"/>
    <w:rsid w:val="00210D10"/>
    <w:rsid w:val="00211FBE"/>
    <w:rsid w:val="00213E33"/>
    <w:rsid w:val="002162D0"/>
    <w:rsid w:val="00220843"/>
    <w:rsid w:val="00220B2D"/>
    <w:rsid w:val="002218F0"/>
    <w:rsid w:val="00222206"/>
    <w:rsid w:val="00223DC9"/>
    <w:rsid w:val="00223DCB"/>
    <w:rsid w:val="0022435E"/>
    <w:rsid w:val="00226B8F"/>
    <w:rsid w:val="0023233F"/>
    <w:rsid w:val="00234BBA"/>
    <w:rsid w:val="002356AB"/>
    <w:rsid w:val="002371AE"/>
    <w:rsid w:val="00237254"/>
    <w:rsid w:val="00237700"/>
    <w:rsid w:val="00241588"/>
    <w:rsid w:val="0024346F"/>
    <w:rsid w:val="002434F2"/>
    <w:rsid w:val="00246AFC"/>
    <w:rsid w:val="00255C42"/>
    <w:rsid w:val="00255DCD"/>
    <w:rsid w:val="00257273"/>
    <w:rsid w:val="002603C3"/>
    <w:rsid w:val="00260697"/>
    <w:rsid w:val="00260EE0"/>
    <w:rsid w:val="0026285D"/>
    <w:rsid w:val="0026709E"/>
    <w:rsid w:val="00267CF4"/>
    <w:rsid w:val="00270DBF"/>
    <w:rsid w:val="0027152D"/>
    <w:rsid w:val="00271948"/>
    <w:rsid w:val="0027445A"/>
    <w:rsid w:val="00274843"/>
    <w:rsid w:val="00274DB5"/>
    <w:rsid w:val="00276455"/>
    <w:rsid w:val="0028044B"/>
    <w:rsid w:val="002807A1"/>
    <w:rsid w:val="00280FBB"/>
    <w:rsid w:val="00282654"/>
    <w:rsid w:val="00282712"/>
    <w:rsid w:val="0028294F"/>
    <w:rsid w:val="00282DB2"/>
    <w:rsid w:val="00282E2B"/>
    <w:rsid w:val="00284433"/>
    <w:rsid w:val="0028532A"/>
    <w:rsid w:val="002855FB"/>
    <w:rsid w:val="0028597D"/>
    <w:rsid w:val="00285E94"/>
    <w:rsid w:val="00286269"/>
    <w:rsid w:val="002907A1"/>
    <w:rsid w:val="002934A2"/>
    <w:rsid w:val="00293F58"/>
    <w:rsid w:val="00295012"/>
    <w:rsid w:val="00297A13"/>
    <w:rsid w:val="00297CF8"/>
    <w:rsid w:val="002A001A"/>
    <w:rsid w:val="002A0160"/>
    <w:rsid w:val="002A130D"/>
    <w:rsid w:val="002A19D0"/>
    <w:rsid w:val="002A2357"/>
    <w:rsid w:val="002A23C9"/>
    <w:rsid w:val="002A2B68"/>
    <w:rsid w:val="002A3186"/>
    <w:rsid w:val="002A38E1"/>
    <w:rsid w:val="002A5E26"/>
    <w:rsid w:val="002A5FF9"/>
    <w:rsid w:val="002A7B58"/>
    <w:rsid w:val="002A7B5E"/>
    <w:rsid w:val="002B141F"/>
    <w:rsid w:val="002B3AA7"/>
    <w:rsid w:val="002B3C23"/>
    <w:rsid w:val="002B3E9D"/>
    <w:rsid w:val="002B4B51"/>
    <w:rsid w:val="002B5A10"/>
    <w:rsid w:val="002B5FA2"/>
    <w:rsid w:val="002B79EF"/>
    <w:rsid w:val="002C04A6"/>
    <w:rsid w:val="002C0B34"/>
    <w:rsid w:val="002C0F09"/>
    <w:rsid w:val="002C14C5"/>
    <w:rsid w:val="002C17D9"/>
    <w:rsid w:val="002C568F"/>
    <w:rsid w:val="002D059F"/>
    <w:rsid w:val="002D13D7"/>
    <w:rsid w:val="002D1D9D"/>
    <w:rsid w:val="002D266B"/>
    <w:rsid w:val="002D3BFF"/>
    <w:rsid w:val="002E16CD"/>
    <w:rsid w:val="002E2490"/>
    <w:rsid w:val="002E3311"/>
    <w:rsid w:val="002E4441"/>
    <w:rsid w:val="002E46B5"/>
    <w:rsid w:val="002E654A"/>
    <w:rsid w:val="002E676D"/>
    <w:rsid w:val="002E6A01"/>
    <w:rsid w:val="002F2FCA"/>
    <w:rsid w:val="002F36BD"/>
    <w:rsid w:val="002F37C1"/>
    <w:rsid w:val="002F384C"/>
    <w:rsid w:val="002F388B"/>
    <w:rsid w:val="002F3ABE"/>
    <w:rsid w:val="002F3E8E"/>
    <w:rsid w:val="002F5AEB"/>
    <w:rsid w:val="00300793"/>
    <w:rsid w:val="0030093C"/>
    <w:rsid w:val="00302E57"/>
    <w:rsid w:val="00305651"/>
    <w:rsid w:val="00306CF1"/>
    <w:rsid w:val="003077DE"/>
    <w:rsid w:val="00310879"/>
    <w:rsid w:val="00310A7F"/>
    <w:rsid w:val="00312F7A"/>
    <w:rsid w:val="00313C03"/>
    <w:rsid w:val="00315009"/>
    <w:rsid w:val="00315BEA"/>
    <w:rsid w:val="00317D33"/>
    <w:rsid w:val="00321C8E"/>
    <w:rsid w:val="00322E79"/>
    <w:rsid w:val="003242C1"/>
    <w:rsid w:val="00324F65"/>
    <w:rsid w:val="003274B9"/>
    <w:rsid w:val="003304D5"/>
    <w:rsid w:val="003336C5"/>
    <w:rsid w:val="0033460E"/>
    <w:rsid w:val="00340075"/>
    <w:rsid w:val="003405A1"/>
    <w:rsid w:val="0034163C"/>
    <w:rsid w:val="00343DDF"/>
    <w:rsid w:val="00344D33"/>
    <w:rsid w:val="0034502A"/>
    <w:rsid w:val="003453DF"/>
    <w:rsid w:val="00345EE9"/>
    <w:rsid w:val="00350504"/>
    <w:rsid w:val="003519A4"/>
    <w:rsid w:val="00351DC2"/>
    <w:rsid w:val="003526F5"/>
    <w:rsid w:val="00353B35"/>
    <w:rsid w:val="0035596A"/>
    <w:rsid w:val="00355C02"/>
    <w:rsid w:val="00355CBD"/>
    <w:rsid w:val="00356F3F"/>
    <w:rsid w:val="00357288"/>
    <w:rsid w:val="003575A3"/>
    <w:rsid w:val="00360B89"/>
    <w:rsid w:val="00362BCD"/>
    <w:rsid w:val="00363268"/>
    <w:rsid w:val="00363A4F"/>
    <w:rsid w:val="00364878"/>
    <w:rsid w:val="003659EF"/>
    <w:rsid w:val="003668F7"/>
    <w:rsid w:val="003719FB"/>
    <w:rsid w:val="00371FF0"/>
    <w:rsid w:val="00372973"/>
    <w:rsid w:val="00373706"/>
    <w:rsid w:val="00375E74"/>
    <w:rsid w:val="0037659C"/>
    <w:rsid w:val="00376ED6"/>
    <w:rsid w:val="00377CBF"/>
    <w:rsid w:val="0038057E"/>
    <w:rsid w:val="0038085B"/>
    <w:rsid w:val="003811AF"/>
    <w:rsid w:val="0038214E"/>
    <w:rsid w:val="00383D4F"/>
    <w:rsid w:val="0038523E"/>
    <w:rsid w:val="003853CA"/>
    <w:rsid w:val="003855EC"/>
    <w:rsid w:val="0038691A"/>
    <w:rsid w:val="00386FF7"/>
    <w:rsid w:val="00391B1F"/>
    <w:rsid w:val="0039228E"/>
    <w:rsid w:val="003923E9"/>
    <w:rsid w:val="00394D71"/>
    <w:rsid w:val="003955DD"/>
    <w:rsid w:val="003958B6"/>
    <w:rsid w:val="003970B3"/>
    <w:rsid w:val="003A0439"/>
    <w:rsid w:val="003A34B7"/>
    <w:rsid w:val="003B13B9"/>
    <w:rsid w:val="003B1783"/>
    <w:rsid w:val="003B26AD"/>
    <w:rsid w:val="003B2BFB"/>
    <w:rsid w:val="003B3A5F"/>
    <w:rsid w:val="003B3EB7"/>
    <w:rsid w:val="003B44F7"/>
    <w:rsid w:val="003B5C1C"/>
    <w:rsid w:val="003B5E39"/>
    <w:rsid w:val="003B6105"/>
    <w:rsid w:val="003B63A1"/>
    <w:rsid w:val="003C0334"/>
    <w:rsid w:val="003C0759"/>
    <w:rsid w:val="003C0F69"/>
    <w:rsid w:val="003C39B1"/>
    <w:rsid w:val="003C3AAB"/>
    <w:rsid w:val="003C3DD2"/>
    <w:rsid w:val="003C46D0"/>
    <w:rsid w:val="003C47E7"/>
    <w:rsid w:val="003C4CCF"/>
    <w:rsid w:val="003D05A4"/>
    <w:rsid w:val="003D1A16"/>
    <w:rsid w:val="003D23C8"/>
    <w:rsid w:val="003D4297"/>
    <w:rsid w:val="003D45D0"/>
    <w:rsid w:val="003E137B"/>
    <w:rsid w:val="003E50A1"/>
    <w:rsid w:val="003E52AB"/>
    <w:rsid w:val="003E6589"/>
    <w:rsid w:val="003E7142"/>
    <w:rsid w:val="003E722A"/>
    <w:rsid w:val="003E7603"/>
    <w:rsid w:val="003E7649"/>
    <w:rsid w:val="003E7F0B"/>
    <w:rsid w:val="003F16D6"/>
    <w:rsid w:val="003F30FE"/>
    <w:rsid w:val="003F3170"/>
    <w:rsid w:val="003F357F"/>
    <w:rsid w:val="003F3817"/>
    <w:rsid w:val="003F3C1E"/>
    <w:rsid w:val="003F3EAD"/>
    <w:rsid w:val="003F560A"/>
    <w:rsid w:val="003F6A73"/>
    <w:rsid w:val="003F6F34"/>
    <w:rsid w:val="004004FC"/>
    <w:rsid w:val="00401247"/>
    <w:rsid w:val="004024FC"/>
    <w:rsid w:val="00403CDA"/>
    <w:rsid w:val="00405454"/>
    <w:rsid w:val="00406010"/>
    <w:rsid w:val="004068F7"/>
    <w:rsid w:val="00411354"/>
    <w:rsid w:val="00413316"/>
    <w:rsid w:val="00413FB9"/>
    <w:rsid w:val="00414513"/>
    <w:rsid w:val="00414976"/>
    <w:rsid w:val="004150B4"/>
    <w:rsid w:val="004152B9"/>
    <w:rsid w:val="0041583A"/>
    <w:rsid w:val="00420274"/>
    <w:rsid w:val="00420EEF"/>
    <w:rsid w:val="004212E4"/>
    <w:rsid w:val="00422278"/>
    <w:rsid w:val="0042255F"/>
    <w:rsid w:val="00423E5E"/>
    <w:rsid w:val="004243AD"/>
    <w:rsid w:val="004243F8"/>
    <w:rsid w:val="004244CC"/>
    <w:rsid w:val="00424AFF"/>
    <w:rsid w:val="00425681"/>
    <w:rsid w:val="00425D6C"/>
    <w:rsid w:val="00426877"/>
    <w:rsid w:val="0042783D"/>
    <w:rsid w:val="00427855"/>
    <w:rsid w:val="00430650"/>
    <w:rsid w:val="00431A2D"/>
    <w:rsid w:val="004335B4"/>
    <w:rsid w:val="00434E02"/>
    <w:rsid w:val="00434E09"/>
    <w:rsid w:val="004369F5"/>
    <w:rsid w:val="0044069E"/>
    <w:rsid w:val="0044129B"/>
    <w:rsid w:val="004424EF"/>
    <w:rsid w:val="0044282B"/>
    <w:rsid w:val="004433C7"/>
    <w:rsid w:val="00446D5F"/>
    <w:rsid w:val="00447129"/>
    <w:rsid w:val="004502AE"/>
    <w:rsid w:val="004511B8"/>
    <w:rsid w:val="00451DBD"/>
    <w:rsid w:val="004521DA"/>
    <w:rsid w:val="004527E1"/>
    <w:rsid w:val="00452BCD"/>
    <w:rsid w:val="00456760"/>
    <w:rsid w:val="00457A4F"/>
    <w:rsid w:val="0046105B"/>
    <w:rsid w:val="00461AE8"/>
    <w:rsid w:val="004625C1"/>
    <w:rsid w:val="0046575D"/>
    <w:rsid w:val="00466670"/>
    <w:rsid w:val="004678BE"/>
    <w:rsid w:val="00470959"/>
    <w:rsid w:val="00470EF7"/>
    <w:rsid w:val="004724A1"/>
    <w:rsid w:val="00473BA3"/>
    <w:rsid w:val="0047477C"/>
    <w:rsid w:val="004747D3"/>
    <w:rsid w:val="00481E9F"/>
    <w:rsid w:val="00486130"/>
    <w:rsid w:val="00487EF5"/>
    <w:rsid w:val="00492B22"/>
    <w:rsid w:val="00493D4E"/>
    <w:rsid w:val="00494647"/>
    <w:rsid w:val="00495A0D"/>
    <w:rsid w:val="00496DA7"/>
    <w:rsid w:val="00497627"/>
    <w:rsid w:val="004A1929"/>
    <w:rsid w:val="004A3062"/>
    <w:rsid w:val="004A49F0"/>
    <w:rsid w:val="004A7AB3"/>
    <w:rsid w:val="004B13D2"/>
    <w:rsid w:val="004B2EF4"/>
    <w:rsid w:val="004B36B9"/>
    <w:rsid w:val="004B3C67"/>
    <w:rsid w:val="004B4137"/>
    <w:rsid w:val="004B4C2E"/>
    <w:rsid w:val="004B61C8"/>
    <w:rsid w:val="004B637A"/>
    <w:rsid w:val="004B7673"/>
    <w:rsid w:val="004C1870"/>
    <w:rsid w:val="004C21C7"/>
    <w:rsid w:val="004C4581"/>
    <w:rsid w:val="004C4DEB"/>
    <w:rsid w:val="004C5B9C"/>
    <w:rsid w:val="004C5C3B"/>
    <w:rsid w:val="004C762C"/>
    <w:rsid w:val="004C7AEE"/>
    <w:rsid w:val="004D07A8"/>
    <w:rsid w:val="004D2159"/>
    <w:rsid w:val="004D3138"/>
    <w:rsid w:val="004D3765"/>
    <w:rsid w:val="004D4BE2"/>
    <w:rsid w:val="004D563E"/>
    <w:rsid w:val="004D58C1"/>
    <w:rsid w:val="004D5AC3"/>
    <w:rsid w:val="004E1975"/>
    <w:rsid w:val="004E37B7"/>
    <w:rsid w:val="004E40E5"/>
    <w:rsid w:val="004E45B8"/>
    <w:rsid w:val="004E48DA"/>
    <w:rsid w:val="004E5B27"/>
    <w:rsid w:val="004E6654"/>
    <w:rsid w:val="004E6F3B"/>
    <w:rsid w:val="004F02D2"/>
    <w:rsid w:val="004F1FC7"/>
    <w:rsid w:val="004F4326"/>
    <w:rsid w:val="004F4F25"/>
    <w:rsid w:val="004F576F"/>
    <w:rsid w:val="004F75A0"/>
    <w:rsid w:val="00500076"/>
    <w:rsid w:val="005004B1"/>
    <w:rsid w:val="00501877"/>
    <w:rsid w:val="0050373C"/>
    <w:rsid w:val="00503971"/>
    <w:rsid w:val="00504190"/>
    <w:rsid w:val="00505C62"/>
    <w:rsid w:val="00505E92"/>
    <w:rsid w:val="00511E75"/>
    <w:rsid w:val="0051287F"/>
    <w:rsid w:val="00512AED"/>
    <w:rsid w:val="00514DB6"/>
    <w:rsid w:val="005154D0"/>
    <w:rsid w:val="0052238F"/>
    <w:rsid w:val="00522AA3"/>
    <w:rsid w:val="0052308D"/>
    <w:rsid w:val="00524292"/>
    <w:rsid w:val="00524BDF"/>
    <w:rsid w:val="005258AE"/>
    <w:rsid w:val="005325CC"/>
    <w:rsid w:val="005342A4"/>
    <w:rsid w:val="00534C63"/>
    <w:rsid w:val="005362EF"/>
    <w:rsid w:val="00536846"/>
    <w:rsid w:val="005438D1"/>
    <w:rsid w:val="00543CD1"/>
    <w:rsid w:val="00544C00"/>
    <w:rsid w:val="0055016C"/>
    <w:rsid w:val="005522F2"/>
    <w:rsid w:val="005540D8"/>
    <w:rsid w:val="0055440A"/>
    <w:rsid w:val="00555309"/>
    <w:rsid w:val="00556FEF"/>
    <w:rsid w:val="00557DC9"/>
    <w:rsid w:val="00561D94"/>
    <w:rsid w:val="005635C9"/>
    <w:rsid w:val="005675A5"/>
    <w:rsid w:val="00572357"/>
    <w:rsid w:val="0057292D"/>
    <w:rsid w:val="00575E87"/>
    <w:rsid w:val="00577000"/>
    <w:rsid w:val="005773A9"/>
    <w:rsid w:val="00577F4D"/>
    <w:rsid w:val="0058395A"/>
    <w:rsid w:val="0058423D"/>
    <w:rsid w:val="005860E9"/>
    <w:rsid w:val="00590311"/>
    <w:rsid w:val="00590713"/>
    <w:rsid w:val="00590E0F"/>
    <w:rsid w:val="00592F21"/>
    <w:rsid w:val="005943FD"/>
    <w:rsid w:val="00594942"/>
    <w:rsid w:val="005A04F3"/>
    <w:rsid w:val="005A10EC"/>
    <w:rsid w:val="005A12A8"/>
    <w:rsid w:val="005A2D1A"/>
    <w:rsid w:val="005A41C0"/>
    <w:rsid w:val="005A44DC"/>
    <w:rsid w:val="005A45BD"/>
    <w:rsid w:val="005A47CE"/>
    <w:rsid w:val="005A4F13"/>
    <w:rsid w:val="005A52A9"/>
    <w:rsid w:val="005A6481"/>
    <w:rsid w:val="005B0FEC"/>
    <w:rsid w:val="005B11EB"/>
    <w:rsid w:val="005B29CE"/>
    <w:rsid w:val="005B30ED"/>
    <w:rsid w:val="005B3470"/>
    <w:rsid w:val="005B37A1"/>
    <w:rsid w:val="005B5190"/>
    <w:rsid w:val="005C0544"/>
    <w:rsid w:val="005C058A"/>
    <w:rsid w:val="005C0958"/>
    <w:rsid w:val="005C0C8E"/>
    <w:rsid w:val="005C0D50"/>
    <w:rsid w:val="005C1C9D"/>
    <w:rsid w:val="005C1EF4"/>
    <w:rsid w:val="005C2888"/>
    <w:rsid w:val="005C41A2"/>
    <w:rsid w:val="005C5156"/>
    <w:rsid w:val="005C60F3"/>
    <w:rsid w:val="005C67A2"/>
    <w:rsid w:val="005C6A82"/>
    <w:rsid w:val="005C788A"/>
    <w:rsid w:val="005D3BFD"/>
    <w:rsid w:val="005D43C7"/>
    <w:rsid w:val="005D4F34"/>
    <w:rsid w:val="005D533D"/>
    <w:rsid w:val="005D551E"/>
    <w:rsid w:val="005D5862"/>
    <w:rsid w:val="005D6AEC"/>
    <w:rsid w:val="005E36C9"/>
    <w:rsid w:val="005E3D9E"/>
    <w:rsid w:val="005F01C8"/>
    <w:rsid w:val="005F14DA"/>
    <w:rsid w:val="005F257A"/>
    <w:rsid w:val="005F2E87"/>
    <w:rsid w:val="005F3189"/>
    <w:rsid w:val="005F31AC"/>
    <w:rsid w:val="005F3EBF"/>
    <w:rsid w:val="005F63E4"/>
    <w:rsid w:val="005F6A89"/>
    <w:rsid w:val="00601664"/>
    <w:rsid w:val="00603C1D"/>
    <w:rsid w:val="006045EB"/>
    <w:rsid w:val="0060641A"/>
    <w:rsid w:val="00606727"/>
    <w:rsid w:val="00612C15"/>
    <w:rsid w:val="006136E6"/>
    <w:rsid w:val="00614A35"/>
    <w:rsid w:val="0061553E"/>
    <w:rsid w:val="00616107"/>
    <w:rsid w:val="006172ED"/>
    <w:rsid w:val="006235EE"/>
    <w:rsid w:val="006238CF"/>
    <w:rsid w:val="00623BB5"/>
    <w:rsid w:val="00623C5C"/>
    <w:rsid w:val="006240C6"/>
    <w:rsid w:val="0062468F"/>
    <w:rsid w:val="00625576"/>
    <w:rsid w:val="00626256"/>
    <w:rsid w:val="006302E2"/>
    <w:rsid w:val="00630AD6"/>
    <w:rsid w:val="00631C4B"/>
    <w:rsid w:val="006333FF"/>
    <w:rsid w:val="0063465E"/>
    <w:rsid w:val="00634CFB"/>
    <w:rsid w:val="00635874"/>
    <w:rsid w:val="00637D39"/>
    <w:rsid w:val="006405C0"/>
    <w:rsid w:val="006424DB"/>
    <w:rsid w:val="00642C77"/>
    <w:rsid w:val="00643900"/>
    <w:rsid w:val="00643A07"/>
    <w:rsid w:val="00644455"/>
    <w:rsid w:val="006470AE"/>
    <w:rsid w:val="006474FB"/>
    <w:rsid w:val="0064760C"/>
    <w:rsid w:val="00651029"/>
    <w:rsid w:val="006517ED"/>
    <w:rsid w:val="00654F3C"/>
    <w:rsid w:val="00655D33"/>
    <w:rsid w:val="00655E0B"/>
    <w:rsid w:val="006608DC"/>
    <w:rsid w:val="006624BA"/>
    <w:rsid w:val="006625E8"/>
    <w:rsid w:val="00662D14"/>
    <w:rsid w:val="00663F39"/>
    <w:rsid w:val="00671CC2"/>
    <w:rsid w:val="00671D80"/>
    <w:rsid w:val="006741A0"/>
    <w:rsid w:val="00675D5F"/>
    <w:rsid w:val="006767C0"/>
    <w:rsid w:val="00680E38"/>
    <w:rsid w:val="00681E86"/>
    <w:rsid w:val="006841D8"/>
    <w:rsid w:val="00685167"/>
    <w:rsid w:val="006858F2"/>
    <w:rsid w:val="00686D01"/>
    <w:rsid w:val="0069072E"/>
    <w:rsid w:val="00692A24"/>
    <w:rsid w:val="0069480A"/>
    <w:rsid w:val="006952F7"/>
    <w:rsid w:val="00696814"/>
    <w:rsid w:val="006976B6"/>
    <w:rsid w:val="00697B96"/>
    <w:rsid w:val="006A00C5"/>
    <w:rsid w:val="006A099E"/>
    <w:rsid w:val="006A12EA"/>
    <w:rsid w:val="006A14D5"/>
    <w:rsid w:val="006A2AA2"/>
    <w:rsid w:val="006A30A3"/>
    <w:rsid w:val="006A33F0"/>
    <w:rsid w:val="006A361C"/>
    <w:rsid w:val="006A5787"/>
    <w:rsid w:val="006A5F5B"/>
    <w:rsid w:val="006B1F3D"/>
    <w:rsid w:val="006B30AE"/>
    <w:rsid w:val="006B3516"/>
    <w:rsid w:val="006B3CAF"/>
    <w:rsid w:val="006B3F6C"/>
    <w:rsid w:val="006B620E"/>
    <w:rsid w:val="006B687C"/>
    <w:rsid w:val="006B6B31"/>
    <w:rsid w:val="006B747D"/>
    <w:rsid w:val="006C0A33"/>
    <w:rsid w:val="006C0A4A"/>
    <w:rsid w:val="006C1F89"/>
    <w:rsid w:val="006C36D7"/>
    <w:rsid w:val="006C3791"/>
    <w:rsid w:val="006C405E"/>
    <w:rsid w:val="006C4CDB"/>
    <w:rsid w:val="006C57D8"/>
    <w:rsid w:val="006C6BD2"/>
    <w:rsid w:val="006C7234"/>
    <w:rsid w:val="006C7BC5"/>
    <w:rsid w:val="006D0F1D"/>
    <w:rsid w:val="006D3687"/>
    <w:rsid w:val="006D482E"/>
    <w:rsid w:val="006D4DB9"/>
    <w:rsid w:val="006D54EF"/>
    <w:rsid w:val="006D72B8"/>
    <w:rsid w:val="006E06D4"/>
    <w:rsid w:val="006E18FD"/>
    <w:rsid w:val="006E190B"/>
    <w:rsid w:val="006E289E"/>
    <w:rsid w:val="006E3140"/>
    <w:rsid w:val="006E4DF8"/>
    <w:rsid w:val="006E5496"/>
    <w:rsid w:val="006E5558"/>
    <w:rsid w:val="006E7C64"/>
    <w:rsid w:val="006F02ED"/>
    <w:rsid w:val="006F131B"/>
    <w:rsid w:val="006F315C"/>
    <w:rsid w:val="006F77CA"/>
    <w:rsid w:val="007004C2"/>
    <w:rsid w:val="00702455"/>
    <w:rsid w:val="007028F5"/>
    <w:rsid w:val="00702A56"/>
    <w:rsid w:val="00702AE0"/>
    <w:rsid w:val="0070589D"/>
    <w:rsid w:val="0070664A"/>
    <w:rsid w:val="00711CF5"/>
    <w:rsid w:val="0071296E"/>
    <w:rsid w:val="00714E98"/>
    <w:rsid w:val="0071769D"/>
    <w:rsid w:val="00717AFE"/>
    <w:rsid w:val="00721039"/>
    <w:rsid w:val="00722D96"/>
    <w:rsid w:val="0072423B"/>
    <w:rsid w:val="007254C3"/>
    <w:rsid w:val="007303AC"/>
    <w:rsid w:val="00731920"/>
    <w:rsid w:val="0073276B"/>
    <w:rsid w:val="00733882"/>
    <w:rsid w:val="007350E3"/>
    <w:rsid w:val="007353C8"/>
    <w:rsid w:val="007421E4"/>
    <w:rsid w:val="007424D1"/>
    <w:rsid w:val="0074350D"/>
    <w:rsid w:val="00743BAA"/>
    <w:rsid w:val="00745539"/>
    <w:rsid w:val="007462D9"/>
    <w:rsid w:val="0074728D"/>
    <w:rsid w:val="00751E11"/>
    <w:rsid w:val="00752D07"/>
    <w:rsid w:val="0075306C"/>
    <w:rsid w:val="00753988"/>
    <w:rsid w:val="00754099"/>
    <w:rsid w:val="007543F9"/>
    <w:rsid w:val="00755E6F"/>
    <w:rsid w:val="00756F8E"/>
    <w:rsid w:val="00760A00"/>
    <w:rsid w:val="00764D9C"/>
    <w:rsid w:val="00765FE0"/>
    <w:rsid w:val="007677EE"/>
    <w:rsid w:val="007702B1"/>
    <w:rsid w:val="00770349"/>
    <w:rsid w:val="00770FEE"/>
    <w:rsid w:val="00772202"/>
    <w:rsid w:val="007724C2"/>
    <w:rsid w:val="00772EFC"/>
    <w:rsid w:val="00772F76"/>
    <w:rsid w:val="0077475B"/>
    <w:rsid w:val="00775FA0"/>
    <w:rsid w:val="0077657B"/>
    <w:rsid w:val="00777137"/>
    <w:rsid w:val="0077728A"/>
    <w:rsid w:val="00781363"/>
    <w:rsid w:val="00782E36"/>
    <w:rsid w:val="007839CF"/>
    <w:rsid w:val="00783EEC"/>
    <w:rsid w:val="00784A9B"/>
    <w:rsid w:val="00787851"/>
    <w:rsid w:val="00790081"/>
    <w:rsid w:val="00791FD2"/>
    <w:rsid w:val="00792171"/>
    <w:rsid w:val="007943A5"/>
    <w:rsid w:val="0079471A"/>
    <w:rsid w:val="0079648F"/>
    <w:rsid w:val="007A0244"/>
    <w:rsid w:val="007A045F"/>
    <w:rsid w:val="007A0763"/>
    <w:rsid w:val="007A12E1"/>
    <w:rsid w:val="007A1B29"/>
    <w:rsid w:val="007A328F"/>
    <w:rsid w:val="007A3588"/>
    <w:rsid w:val="007A4164"/>
    <w:rsid w:val="007A57F5"/>
    <w:rsid w:val="007A58D6"/>
    <w:rsid w:val="007A6874"/>
    <w:rsid w:val="007A6ECA"/>
    <w:rsid w:val="007A7064"/>
    <w:rsid w:val="007B4254"/>
    <w:rsid w:val="007B6BB3"/>
    <w:rsid w:val="007C135E"/>
    <w:rsid w:val="007C21B1"/>
    <w:rsid w:val="007C31E2"/>
    <w:rsid w:val="007C36AC"/>
    <w:rsid w:val="007C466B"/>
    <w:rsid w:val="007C4A00"/>
    <w:rsid w:val="007C5553"/>
    <w:rsid w:val="007C5996"/>
    <w:rsid w:val="007C5A32"/>
    <w:rsid w:val="007D2565"/>
    <w:rsid w:val="007D2570"/>
    <w:rsid w:val="007D287D"/>
    <w:rsid w:val="007D2DB4"/>
    <w:rsid w:val="007D6CA3"/>
    <w:rsid w:val="007D737D"/>
    <w:rsid w:val="007D74FB"/>
    <w:rsid w:val="007D779F"/>
    <w:rsid w:val="007D7F28"/>
    <w:rsid w:val="007E3352"/>
    <w:rsid w:val="007E425D"/>
    <w:rsid w:val="007E450B"/>
    <w:rsid w:val="007E52C3"/>
    <w:rsid w:val="007E5FB8"/>
    <w:rsid w:val="007E62B9"/>
    <w:rsid w:val="007E668C"/>
    <w:rsid w:val="007F13F0"/>
    <w:rsid w:val="007F1727"/>
    <w:rsid w:val="007F1C4D"/>
    <w:rsid w:val="007F219B"/>
    <w:rsid w:val="007F4D88"/>
    <w:rsid w:val="007F539A"/>
    <w:rsid w:val="007F6CCC"/>
    <w:rsid w:val="007F6CCE"/>
    <w:rsid w:val="007F7CCF"/>
    <w:rsid w:val="007F7F8A"/>
    <w:rsid w:val="008006A4"/>
    <w:rsid w:val="008006AF"/>
    <w:rsid w:val="0080208C"/>
    <w:rsid w:val="0080290D"/>
    <w:rsid w:val="00802B9E"/>
    <w:rsid w:val="00803DD6"/>
    <w:rsid w:val="00805809"/>
    <w:rsid w:val="00805E73"/>
    <w:rsid w:val="0080620E"/>
    <w:rsid w:val="00807C51"/>
    <w:rsid w:val="00807FB8"/>
    <w:rsid w:val="0081084A"/>
    <w:rsid w:val="00810CDB"/>
    <w:rsid w:val="0081121A"/>
    <w:rsid w:val="00811A33"/>
    <w:rsid w:val="008128B7"/>
    <w:rsid w:val="00813D9E"/>
    <w:rsid w:val="008144F3"/>
    <w:rsid w:val="00814829"/>
    <w:rsid w:val="00814D0E"/>
    <w:rsid w:val="00815E77"/>
    <w:rsid w:val="00815F3D"/>
    <w:rsid w:val="0081699D"/>
    <w:rsid w:val="00820680"/>
    <w:rsid w:val="00821163"/>
    <w:rsid w:val="0082175A"/>
    <w:rsid w:val="00822711"/>
    <w:rsid w:val="008230D6"/>
    <w:rsid w:val="00825D92"/>
    <w:rsid w:val="00827D80"/>
    <w:rsid w:val="008305FC"/>
    <w:rsid w:val="00831C1B"/>
    <w:rsid w:val="00833A7C"/>
    <w:rsid w:val="0083420A"/>
    <w:rsid w:val="00834AB5"/>
    <w:rsid w:val="00835FB3"/>
    <w:rsid w:val="0083724E"/>
    <w:rsid w:val="008404F4"/>
    <w:rsid w:val="00843251"/>
    <w:rsid w:val="0084374A"/>
    <w:rsid w:val="00844E3D"/>
    <w:rsid w:val="0084509A"/>
    <w:rsid w:val="00845A41"/>
    <w:rsid w:val="008468D2"/>
    <w:rsid w:val="00846CAC"/>
    <w:rsid w:val="00847BED"/>
    <w:rsid w:val="00850264"/>
    <w:rsid w:val="008535B2"/>
    <w:rsid w:val="0085621B"/>
    <w:rsid w:val="00856605"/>
    <w:rsid w:val="00856DF5"/>
    <w:rsid w:val="00857886"/>
    <w:rsid w:val="008579B1"/>
    <w:rsid w:val="008615C9"/>
    <w:rsid w:val="00861B30"/>
    <w:rsid w:val="00863625"/>
    <w:rsid w:val="008663D0"/>
    <w:rsid w:val="00866D26"/>
    <w:rsid w:val="00870AE9"/>
    <w:rsid w:val="00874FBF"/>
    <w:rsid w:val="00875B81"/>
    <w:rsid w:val="00875BFC"/>
    <w:rsid w:val="00875C11"/>
    <w:rsid w:val="00877A41"/>
    <w:rsid w:val="00881C06"/>
    <w:rsid w:val="00882706"/>
    <w:rsid w:val="0088295B"/>
    <w:rsid w:val="0088447D"/>
    <w:rsid w:val="00884A61"/>
    <w:rsid w:val="00887FB8"/>
    <w:rsid w:val="008915B5"/>
    <w:rsid w:val="0089397A"/>
    <w:rsid w:val="00894064"/>
    <w:rsid w:val="008941B7"/>
    <w:rsid w:val="00894D93"/>
    <w:rsid w:val="00895870"/>
    <w:rsid w:val="0089602B"/>
    <w:rsid w:val="00897302"/>
    <w:rsid w:val="008A0199"/>
    <w:rsid w:val="008A4F7E"/>
    <w:rsid w:val="008A7288"/>
    <w:rsid w:val="008B0FFE"/>
    <w:rsid w:val="008B36A0"/>
    <w:rsid w:val="008B39D1"/>
    <w:rsid w:val="008B6971"/>
    <w:rsid w:val="008B7F5E"/>
    <w:rsid w:val="008C084F"/>
    <w:rsid w:val="008C087A"/>
    <w:rsid w:val="008C0C2E"/>
    <w:rsid w:val="008C1940"/>
    <w:rsid w:val="008C1DE8"/>
    <w:rsid w:val="008C3C07"/>
    <w:rsid w:val="008C3FAD"/>
    <w:rsid w:val="008C4B3A"/>
    <w:rsid w:val="008C6652"/>
    <w:rsid w:val="008C68BE"/>
    <w:rsid w:val="008C7C78"/>
    <w:rsid w:val="008D0C99"/>
    <w:rsid w:val="008D1032"/>
    <w:rsid w:val="008D13BA"/>
    <w:rsid w:val="008D5AB5"/>
    <w:rsid w:val="008E0FDC"/>
    <w:rsid w:val="008E1373"/>
    <w:rsid w:val="008E640E"/>
    <w:rsid w:val="008E6F9E"/>
    <w:rsid w:val="008F083E"/>
    <w:rsid w:val="008F2A4C"/>
    <w:rsid w:val="008F2D28"/>
    <w:rsid w:val="008F2FCC"/>
    <w:rsid w:val="008F308F"/>
    <w:rsid w:val="008F3D63"/>
    <w:rsid w:val="008F5D97"/>
    <w:rsid w:val="008F5FFE"/>
    <w:rsid w:val="008F7795"/>
    <w:rsid w:val="009002F8"/>
    <w:rsid w:val="009029A6"/>
    <w:rsid w:val="00904962"/>
    <w:rsid w:val="00904D01"/>
    <w:rsid w:val="00905914"/>
    <w:rsid w:val="00905DA6"/>
    <w:rsid w:val="0090695F"/>
    <w:rsid w:val="00906DEF"/>
    <w:rsid w:val="00910CB3"/>
    <w:rsid w:val="00911168"/>
    <w:rsid w:val="00913E1A"/>
    <w:rsid w:val="00915BB4"/>
    <w:rsid w:val="00917C0B"/>
    <w:rsid w:val="009220E3"/>
    <w:rsid w:val="009225B9"/>
    <w:rsid w:val="00922F59"/>
    <w:rsid w:val="00924A78"/>
    <w:rsid w:val="00924C45"/>
    <w:rsid w:val="00925C13"/>
    <w:rsid w:val="009268BD"/>
    <w:rsid w:val="00927049"/>
    <w:rsid w:val="00930462"/>
    <w:rsid w:val="009341D6"/>
    <w:rsid w:val="00935304"/>
    <w:rsid w:val="009363BF"/>
    <w:rsid w:val="00936D9C"/>
    <w:rsid w:val="00942AC5"/>
    <w:rsid w:val="00943D4D"/>
    <w:rsid w:val="00950E03"/>
    <w:rsid w:val="00951370"/>
    <w:rsid w:val="00953B0B"/>
    <w:rsid w:val="00955250"/>
    <w:rsid w:val="00956F08"/>
    <w:rsid w:val="00957C5A"/>
    <w:rsid w:val="0096087C"/>
    <w:rsid w:val="0096108B"/>
    <w:rsid w:val="009611F6"/>
    <w:rsid w:val="00961629"/>
    <w:rsid w:val="00964181"/>
    <w:rsid w:val="00964EF7"/>
    <w:rsid w:val="0097002B"/>
    <w:rsid w:val="009706C6"/>
    <w:rsid w:val="00971100"/>
    <w:rsid w:val="00971E2B"/>
    <w:rsid w:val="00972DAD"/>
    <w:rsid w:val="0097322E"/>
    <w:rsid w:val="009775A6"/>
    <w:rsid w:val="00977A00"/>
    <w:rsid w:val="00977CA6"/>
    <w:rsid w:val="0098157C"/>
    <w:rsid w:val="009857EC"/>
    <w:rsid w:val="009859E3"/>
    <w:rsid w:val="009860B0"/>
    <w:rsid w:val="00986BE8"/>
    <w:rsid w:val="00987498"/>
    <w:rsid w:val="009878B7"/>
    <w:rsid w:val="00990B43"/>
    <w:rsid w:val="00990CFE"/>
    <w:rsid w:val="00992381"/>
    <w:rsid w:val="0099238A"/>
    <w:rsid w:val="0099255F"/>
    <w:rsid w:val="00994C1C"/>
    <w:rsid w:val="00994E47"/>
    <w:rsid w:val="00995D56"/>
    <w:rsid w:val="0099639C"/>
    <w:rsid w:val="0099688C"/>
    <w:rsid w:val="00997910"/>
    <w:rsid w:val="009A051D"/>
    <w:rsid w:val="009A216C"/>
    <w:rsid w:val="009A3265"/>
    <w:rsid w:val="009A53DE"/>
    <w:rsid w:val="009A7760"/>
    <w:rsid w:val="009B0ACA"/>
    <w:rsid w:val="009B19A7"/>
    <w:rsid w:val="009B2098"/>
    <w:rsid w:val="009B28A8"/>
    <w:rsid w:val="009B4909"/>
    <w:rsid w:val="009B4F59"/>
    <w:rsid w:val="009B6788"/>
    <w:rsid w:val="009B712F"/>
    <w:rsid w:val="009B7A2B"/>
    <w:rsid w:val="009C18C7"/>
    <w:rsid w:val="009C2E81"/>
    <w:rsid w:val="009C313D"/>
    <w:rsid w:val="009C42DE"/>
    <w:rsid w:val="009C43DF"/>
    <w:rsid w:val="009C47AD"/>
    <w:rsid w:val="009C6B09"/>
    <w:rsid w:val="009C6DAC"/>
    <w:rsid w:val="009C7AC3"/>
    <w:rsid w:val="009C7DC7"/>
    <w:rsid w:val="009C7F7E"/>
    <w:rsid w:val="009D07FD"/>
    <w:rsid w:val="009D08F0"/>
    <w:rsid w:val="009D0D3A"/>
    <w:rsid w:val="009D414F"/>
    <w:rsid w:val="009D58D8"/>
    <w:rsid w:val="009D69FE"/>
    <w:rsid w:val="009E06B0"/>
    <w:rsid w:val="009E3B3B"/>
    <w:rsid w:val="009E3C63"/>
    <w:rsid w:val="009E4718"/>
    <w:rsid w:val="009E6CF5"/>
    <w:rsid w:val="009F107B"/>
    <w:rsid w:val="009F3EAF"/>
    <w:rsid w:val="009F61E3"/>
    <w:rsid w:val="00A018A2"/>
    <w:rsid w:val="00A03E70"/>
    <w:rsid w:val="00A050EB"/>
    <w:rsid w:val="00A07213"/>
    <w:rsid w:val="00A07F87"/>
    <w:rsid w:val="00A111DA"/>
    <w:rsid w:val="00A11CFC"/>
    <w:rsid w:val="00A11DDF"/>
    <w:rsid w:val="00A17713"/>
    <w:rsid w:val="00A2029F"/>
    <w:rsid w:val="00A2208E"/>
    <w:rsid w:val="00A235CD"/>
    <w:rsid w:val="00A240EC"/>
    <w:rsid w:val="00A24933"/>
    <w:rsid w:val="00A24DA3"/>
    <w:rsid w:val="00A258FA"/>
    <w:rsid w:val="00A27391"/>
    <w:rsid w:val="00A27433"/>
    <w:rsid w:val="00A27512"/>
    <w:rsid w:val="00A30B64"/>
    <w:rsid w:val="00A31AB5"/>
    <w:rsid w:val="00A33A70"/>
    <w:rsid w:val="00A3556B"/>
    <w:rsid w:val="00A35CAF"/>
    <w:rsid w:val="00A35CCD"/>
    <w:rsid w:val="00A36A6E"/>
    <w:rsid w:val="00A41139"/>
    <w:rsid w:val="00A43A03"/>
    <w:rsid w:val="00A4402D"/>
    <w:rsid w:val="00A441E3"/>
    <w:rsid w:val="00A45B05"/>
    <w:rsid w:val="00A45DC9"/>
    <w:rsid w:val="00A47C88"/>
    <w:rsid w:val="00A513D8"/>
    <w:rsid w:val="00A52A70"/>
    <w:rsid w:val="00A5367C"/>
    <w:rsid w:val="00A53700"/>
    <w:rsid w:val="00A53B98"/>
    <w:rsid w:val="00A55563"/>
    <w:rsid w:val="00A5794F"/>
    <w:rsid w:val="00A57DE1"/>
    <w:rsid w:val="00A57F70"/>
    <w:rsid w:val="00A57FED"/>
    <w:rsid w:val="00A617B5"/>
    <w:rsid w:val="00A61917"/>
    <w:rsid w:val="00A63285"/>
    <w:rsid w:val="00A63672"/>
    <w:rsid w:val="00A6388B"/>
    <w:rsid w:val="00A65FA7"/>
    <w:rsid w:val="00A6615D"/>
    <w:rsid w:val="00A66223"/>
    <w:rsid w:val="00A7000D"/>
    <w:rsid w:val="00A71B62"/>
    <w:rsid w:val="00A7411F"/>
    <w:rsid w:val="00A74E1C"/>
    <w:rsid w:val="00A75DF2"/>
    <w:rsid w:val="00A76746"/>
    <w:rsid w:val="00A7688E"/>
    <w:rsid w:val="00A818EE"/>
    <w:rsid w:val="00A8384A"/>
    <w:rsid w:val="00A8390A"/>
    <w:rsid w:val="00A83BC1"/>
    <w:rsid w:val="00A86A59"/>
    <w:rsid w:val="00A90630"/>
    <w:rsid w:val="00A9162E"/>
    <w:rsid w:val="00A916AD"/>
    <w:rsid w:val="00A93AA1"/>
    <w:rsid w:val="00A93F22"/>
    <w:rsid w:val="00A94011"/>
    <w:rsid w:val="00A94E72"/>
    <w:rsid w:val="00A96608"/>
    <w:rsid w:val="00A9664F"/>
    <w:rsid w:val="00A97C63"/>
    <w:rsid w:val="00AA0A0B"/>
    <w:rsid w:val="00AA0CF0"/>
    <w:rsid w:val="00AA0FA2"/>
    <w:rsid w:val="00AA12D8"/>
    <w:rsid w:val="00AA2D92"/>
    <w:rsid w:val="00AA38C3"/>
    <w:rsid w:val="00AA5B8D"/>
    <w:rsid w:val="00AA5E8F"/>
    <w:rsid w:val="00AA6ED8"/>
    <w:rsid w:val="00AB155C"/>
    <w:rsid w:val="00AB3127"/>
    <w:rsid w:val="00AB7613"/>
    <w:rsid w:val="00AB7DE2"/>
    <w:rsid w:val="00AC08B2"/>
    <w:rsid w:val="00AC1A25"/>
    <w:rsid w:val="00AC3012"/>
    <w:rsid w:val="00AC6EAF"/>
    <w:rsid w:val="00AD0D9D"/>
    <w:rsid w:val="00AD184D"/>
    <w:rsid w:val="00AD3863"/>
    <w:rsid w:val="00AD3E14"/>
    <w:rsid w:val="00AD7518"/>
    <w:rsid w:val="00AE07E3"/>
    <w:rsid w:val="00AE333F"/>
    <w:rsid w:val="00AE6D52"/>
    <w:rsid w:val="00AE766A"/>
    <w:rsid w:val="00AF3B1D"/>
    <w:rsid w:val="00AF4731"/>
    <w:rsid w:val="00AF4D47"/>
    <w:rsid w:val="00AF54FA"/>
    <w:rsid w:val="00AF5842"/>
    <w:rsid w:val="00AF6595"/>
    <w:rsid w:val="00AF6EE2"/>
    <w:rsid w:val="00AF7D8E"/>
    <w:rsid w:val="00B02293"/>
    <w:rsid w:val="00B02FC0"/>
    <w:rsid w:val="00B04C75"/>
    <w:rsid w:val="00B0564D"/>
    <w:rsid w:val="00B0571C"/>
    <w:rsid w:val="00B058D4"/>
    <w:rsid w:val="00B06E96"/>
    <w:rsid w:val="00B11BC2"/>
    <w:rsid w:val="00B1218C"/>
    <w:rsid w:val="00B127A0"/>
    <w:rsid w:val="00B12C48"/>
    <w:rsid w:val="00B14667"/>
    <w:rsid w:val="00B15120"/>
    <w:rsid w:val="00B15A5D"/>
    <w:rsid w:val="00B15D02"/>
    <w:rsid w:val="00B1687C"/>
    <w:rsid w:val="00B16D15"/>
    <w:rsid w:val="00B16DFF"/>
    <w:rsid w:val="00B222C9"/>
    <w:rsid w:val="00B246EC"/>
    <w:rsid w:val="00B25DA7"/>
    <w:rsid w:val="00B273A6"/>
    <w:rsid w:val="00B279D1"/>
    <w:rsid w:val="00B27F36"/>
    <w:rsid w:val="00B34F12"/>
    <w:rsid w:val="00B35CEF"/>
    <w:rsid w:val="00B362E5"/>
    <w:rsid w:val="00B36455"/>
    <w:rsid w:val="00B36DDD"/>
    <w:rsid w:val="00B41746"/>
    <w:rsid w:val="00B41E45"/>
    <w:rsid w:val="00B44AB0"/>
    <w:rsid w:val="00B44AB7"/>
    <w:rsid w:val="00B450BE"/>
    <w:rsid w:val="00B457FE"/>
    <w:rsid w:val="00B47580"/>
    <w:rsid w:val="00B47A52"/>
    <w:rsid w:val="00B50FAA"/>
    <w:rsid w:val="00B541CB"/>
    <w:rsid w:val="00B54AB1"/>
    <w:rsid w:val="00B55373"/>
    <w:rsid w:val="00B568F5"/>
    <w:rsid w:val="00B569F5"/>
    <w:rsid w:val="00B60A47"/>
    <w:rsid w:val="00B60D93"/>
    <w:rsid w:val="00B64350"/>
    <w:rsid w:val="00B64462"/>
    <w:rsid w:val="00B658AD"/>
    <w:rsid w:val="00B65938"/>
    <w:rsid w:val="00B6596F"/>
    <w:rsid w:val="00B71026"/>
    <w:rsid w:val="00B715EF"/>
    <w:rsid w:val="00B719FB"/>
    <w:rsid w:val="00B72153"/>
    <w:rsid w:val="00B739DB"/>
    <w:rsid w:val="00B74B12"/>
    <w:rsid w:val="00B76F17"/>
    <w:rsid w:val="00B777DF"/>
    <w:rsid w:val="00B801C6"/>
    <w:rsid w:val="00B802D9"/>
    <w:rsid w:val="00B81239"/>
    <w:rsid w:val="00B82EAD"/>
    <w:rsid w:val="00B8318C"/>
    <w:rsid w:val="00B840FF"/>
    <w:rsid w:val="00B85B8B"/>
    <w:rsid w:val="00B86663"/>
    <w:rsid w:val="00B87FF9"/>
    <w:rsid w:val="00B90502"/>
    <w:rsid w:val="00B93316"/>
    <w:rsid w:val="00B94214"/>
    <w:rsid w:val="00B9496F"/>
    <w:rsid w:val="00B950BE"/>
    <w:rsid w:val="00B9723F"/>
    <w:rsid w:val="00BA2AD0"/>
    <w:rsid w:val="00BA3A6A"/>
    <w:rsid w:val="00BA3DF5"/>
    <w:rsid w:val="00BA672F"/>
    <w:rsid w:val="00BA6769"/>
    <w:rsid w:val="00BA7B7F"/>
    <w:rsid w:val="00BB04A9"/>
    <w:rsid w:val="00BB1FDE"/>
    <w:rsid w:val="00BB23BF"/>
    <w:rsid w:val="00BB292A"/>
    <w:rsid w:val="00BB2DDF"/>
    <w:rsid w:val="00BB2F9D"/>
    <w:rsid w:val="00BB33B7"/>
    <w:rsid w:val="00BB41D8"/>
    <w:rsid w:val="00BB5D54"/>
    <w:rsid w:val="00BB6DDE"/>
    <w:rsid w:val="00BC1223"/>
    <w:rsid w:val="00BC3241"/>
    <w:rsid w:val="00BC42EB"/>
    <w:rsid w:val="00BC5888"/>
    <w:rsid w:val="00BC63A7"/>
    <w:rsid w:val="00BC6475"/>
    <w:rsid w:val="00BC6A3D"/>
    <w:rsid w:val="00BC6D9C"/>
    <w:rsid w:val="00BC7801"/>
    <w:rsid w:val="00BC7AD3"/>
    <w:rsid w:val="00BD0E91"/>
    <w:rsid w:val="00BD2CDA"/>
    <w:rsid w:val="00BD37DD"/>
    <w:rsid w:val="00BD3A50"/>
    <w:rsid w:val="00BD4293"/>
    <w:rsid w:val="00BD5C07"/>
    <w:rsid w:val="00BD5F58"/>
    <w:rsid w:val="00BE22B4"/>
    <w:rsid w:val="00BE4E65"/>
    <w:rsid w:val="00BF019A"/>
    <w:rsid w:val="00BF16E0"/>
    <w:rsid w:val="00BF4910"/>
    <w:rsid w:val="00BF620C"/>
    <w:rsid w:val="00BF69B3"/>
    <w:rsid w:val="00BF6E95"/>
    <w:rsid w:val="00BF706B"/>
    <w:rsid w:val="00BF797B"/>
    <w:rsid w:val="00C00A72"/>
    <w:rsid w:val="00C00C53"/>
    <w:rsid w:val="00C03715"/>
    <w:rsid w:val="00C03B00"/>
    <w:rsid w:val="00C043BB"/>
    <w:rsid w:val="00C105C2"/>
    <w:rsid w:val="00C11180"/>
    <w:rsid w:val="00C12362"/>
    <w:rsid w:val="00C13CDF"/>
    <w:rsid w:val="00C14217"/>
    <w:rsid w:val="00C1439D"/>
    <w:rsid w:val="00C149F4"/>
    <w:rsid w:val="00C16181"/>
    <w:rsid w:val="00C1638E"/>
    <w:rsid w:val="00C22300"/>
    <w:rsid w:val="00C22A87"/>
    <w:rsid w:val="00C23729"/>
    <w:rsid w:val="00C23CCD"/>
    <w:rsid w:val="00C2526F"/>
    <w:rsid w:val="00C25A97"/>
    <w:rsid w:val="00C267FE"/>
    <w:rsid w:val="00C30FC9"/>
    <w:rsid w:val="00C332B5"/>
    <w:rsid w:val="00C34FAA"/>
    <w:rsid w:val="00C35BD5"/>
    <w:rsid w:val="00C37D06"/>
    <w:rsid w:val="00C410D5"/>
    <w:rsid w:val="00C42AFD"/>
    <w:rsid w:val="00C43681"/>
    <w:rsid w:val="00C43AD0"/>
    <w:rsid w:val="00C440F9"/>
    <w:rsid w:val="00C4418A"/>
    <w:rsid w:val="00C44D32"/>
    <w:rsid w:val="00C45491"/>
    <w:rsid w:val="00C45C8D"/>
    <w:rsid w:val="00C51B4F"/>
    <w:rsid w:val="00C527F3"/>
    <w:rsid w:val="00C5281E"/>
    <w:rsid w:val="00C567EA"/>
    <w:rsid w:val="00C60DDC"/>
    <w:rsid w:val="00C62B40"/>
    <w:rsid w:val="00C62E0A"/>
    <w:rsid w:val="00C6491B"/>
    <w:rsid w:val="00C6696D"/>
    <w:rsid w:val="00C706A9"/>
    <w:rsid w:val="00C71549"/>
    <w:rsid w:val="00C73123"/>
    <w:rsid w:val="00C741C2"/>
    <w:rsid w:val="00C75BC7"/>
    <w:rsid w:val="00C75CE0"/>
    <w:rsid w:val="00C7627F"/>
    <w:rsid w:val="00C762D7"/>
    <w:rsid w:val="00C77010"/>
    <w:rsid w:val="00C80A4C"/>
    <w:rsid w:val="00C8227E"/>
    <w:rsid w:val="00C83FDF"/>
    <w:rsid w:val="00C84E97"/>
    <w:rsid w:val="00C8500A"/>
    <w:rsid w:val="00C854FA"/>
    <w:rsid w:val="00C8588E"/>
    <w:rsid w:val="00C916AA"/>
    <w:rsid w:val="00C92821"/>
    <w:rsid w:val="00C9451E"/>
    <w:rsid w:val="00C975F4"/>
    <w:rsid w:val="00CA07D8"/>
    <w:rsid w:val="00CA1B4F"/>
    <w:rsid w:val="00CA3203"/>
    <w:rsid w:val="00CA3242"/>
    <w:rsid w:val="00CA6663"/>
    <w:rsid w:val="00CA6B1A"/>
    <w:rsid w:val="00CA70D7"/>
    <w:rsid w:val="00CA74BD"/>
    <w:rsid w:val="00CA7908"/>
    <w:rsid w:val="00CB0927"/>
    <w:rsid w:val="00CB4363"/>
    <w:rsid w:val="00CB5259"/>
    <w:rsid w:val="00CB64E3"/>
    <w:rsid w:val="00CC05AF"/>
    <w:rsid w:val="00CC06F0"/>
    <w:rsid w:val="00CC10A9"/>
    <w:rsid w:val="00CC12EE"/>
    <w:rsid w:val="00CC2296"/>
    <w:rsid w:val="00CC2EBF"/>
    <w:rsid w:val="00CC3027"/>
    <w:rsid w:val="00CC3219"/>
    <w:rsid w:val="00CC41C9"/>
    <w:rsid w:val="00CC4280"/>
    <w:rsid w:val="00CC4CA9"/>
    <w:rsid w:val="00CD3705"/>
    <w:rsid w:val="00CD4B4D"/>
    <w:rsid w:val="00CD7C4E"/>
    <w:rsid w:val="00CE041D"/>
    <w:rsid w:val="00CE2CCC"/>
    <w:rsid w:val="00CE2FB0"/>
    <w:rsid w:val="00CE3CC5"/>
    <w:rsid w:val="00CE5F92"/>
    <w:rsid w:val="00CE6725"/>
    <w:rsid w:val="00CE67CD"/>
    <w:rsid w:val="00CE705F"/>
    <w:rsid w:val="00CE7D14"/>
    <w:rsid w:val="00CE7E89"/>
    <w:rsid w:val="00CF0C8F"/>
    <w:rsid w:val="00CF0EFE"/>
    <w:rsid w:val="00CF1470"/>
    <w:rsid w:val="00CF1CF9"/>
    <w:rsid w:val="00CF1ED1"/>
    <w:rsid w:val="00CF222F"/>
    <w:rsid w:val="00CF367B"/>
    <w:rsid w:val="00CF3988"/>
    <w:rsid w:val="00CF3DFA"/>
    <w:rsid w:val="00CF40B2"/>
    <w:rsid w:val="00CF5011"/>
    <w:rsid w:val="00CF5A5E"/>
    <w:rsid w:val="00CF6F66"/>
    <w:rsid w:val="00CF734E"/>
    <w:rsid w:val="00CF7BAA"/>
    <w:rsid w:val="00CF7BAF"/>
    <w:rsid w:val="00CF7E5E"/>
    <w:rsid w:val="00D00FAC"/>
    <w:rsid w:val="00D04813"/>
    <w:rsid w:val="00D04C6F"/>
    <w:rsid w:val="00D0516B"/>
    <w:rsid w:val="00D05316"/>
    <w:rsid w:val="00D05D6C"/>
    <w:rsid w:val="00D06DB6"/>
    <w:rsid w:val="00D1120E"/>
    <w:rsid w:val="00D1137D"/>
    <w:rsid w:val="00D11A3E"/>
    <w:rsid w:val="00D11B87"/>
    <w:rsid w:val="00D1242C"/>
    <w:rsid w:val="00D1287D"/>
    <w:rsid w:val="00D129E5"/>
    <w:rsid w:val="00D12A64"/>
    <w:rsid w:val="00D14EEA"/>
    <w:rsid w:val="00D15699"/>
    <w:rsid w:val="00D17229"/>
    <w:rsid w:val="00D17CD0"/>
    <w:rsid w:val="00D23BFD"/>
    <w:rsid w:val="00D23CBA"/>
    <w:rsid w:val="00D24022"/>
    <w:rsid w:val="00D245B9"/>
    <w:rsid w:val="00D24C47"/>
    <w:rsid w:val="00D30149"/>
    <w:rsid w:val="00D3022E"/>
    <w:rsid w:val="00D31A47"/>
    <w:rsid w:val="00D31B36"/>
    <w:rsid w:val="00D31F2F"/>
    <w:rsid w:val="00D345FB"/>
    <w:rsid w:val="00D35FF3"/>
    <w:rsid w:val="00D36933"/>
    <w:rsid w:val="00D3784E"/>
    <w:rsid w:val="00D425EA"/>
    <w:rsid w:val="00D437FB"/>
    <w:rsid w:val="00D44CF6"/>
    <w:rsid w:val="00D44DA4"/>
    <w:rsid w:val="00D45898"/>
    <w:rsid w:val="00D46ABD"/>
    <w:rsid w:val="00D47979"/>
    <w:rsid w:val="00D501EB"/>
    <w:rsid w:val="00D511F2"/>
    <w:rsid w:val="00D516F8"/>
    <w:rsid w:val="00D51A51"/>
    <w:rsid w:val="00D51A6E"/>
    <w:rsid w:val="00D52A5F"/>
    <w:rsid w:val="00D539AA"/>
    <w:rsid w:val="00D544AB"/>
    <w:rsid w:val="00D569C8"/>
    <w:rsid w:val="00D57C2F"/>
    <w:rsid w:val="00D57F61"/>
    <w:rsid w:val="00D601DE"/>
    <w:rsid w:val="00D61177"/>
    <w:rsid w:val="00D62E8D"/>
    <w:rsid w:val="00D63321"/>
    <w:rsid w:val="00D63C0E"/>
    <w:rsid w:val="00D654CB"/>
    <w:rsid w:val="00D65F79"/>
    <w:rsid w:val="00D71342"/>
    <w:rsid w:val="00D72411"/>
    <w:rsid w:val="00D72801"/>
    <w:rsid w:val="00D73D63"/>
    <w:rsid w:val="00D74731"/>
    <w:rsid w:val="00D74797"/>
    <w:rsid w:val="00D75BC3"/>
    <w:rsid w:val="00D767AE"/>
    <w:rsid w:val="00D775BE"/>
    <w:rsid w:val="00D777F0"/>
    <w:rsid w:val="00D77DF8"/>
    <w:rsid w:val="00D822EA"/>
    <w:rsid w:val="00D8273F"/>
    <w:rsid w:val="00D8308B"/>
    <w:rsid w:val="00D842E9"/>
    <w:rsid w:val="00D84526"/>
    <w:rsid w:val="00D8702A"/>
    <w:rsid w:val="00D87546"/>
    <w:rsid w:val="00D90154"/>
    <w:rsid w:val="00D90FCA"/>
    <w:rsid w:val="00D9153A"/>
    <w:rsid w:val="00D91765"/>
    <w:rsid w:val="00D92CB5"/>
    <w:rsid w:val="00D9376C"/>
    <w:rsid w:val="00D94589"/>
    <w:rsid w:val="00D94F76"/>
    <w:rsid w:val="00D96849"/>
    <w:rsid w:val="00DA34BC"/>
    <w:rsid w:val="00DA48F4"/>
    <w:rsid w:val="00DA6CB3"/>
    <w:rsid w:val="00DA7A6C"/>
    <w:rsid w:val="00DA7DEB"/>
    <w:rsid w:val="00DB17DB"/>
    <w:rsid w:val="00DB321F"/>
    <w:rsid w:val="00DB32B2"/>
    <w:rsid w:val="00DB4805"/>
    <w:rsid w:val="00DB524C"/>
    <w:rsid w:val="00DB732B"/>
    <w:rsid w:val="00DC126F"/>
    <w:rsid w:val="00DC2884"/>
    <w:rsid w:val="00DC381D"/>
    <w:rsid w:val="00DC4C5C"/>
    <w:rsid w:val="00DD081F"/>
    <w:rsid w:val="00DD1283"/>
    <w:rsid w:val="00DD3002"/>
    <w:rsid w:val="00DD4490"/>
    <w:rsid w:val="00DD4E6C"/>
    <w:rsid w:val="00DD5B66"/>
    <w:rsid w:val="00DD6944"/>
    <w:rsid w:val="00DD6F08"/>
    <w:rsid w:val="00DD78D0"/>
    <w:rsid w:val="00DD7F4E"/>
    <w:rsid w:val="00DE12CC"/>
    <w:rsid w:val="00DE12D4"/>
    <w:rsid w:val="00DE1989"/>
    <w:rsid w:val="00DE42BA"/>
    <w:rsid w:val="00DE6316"/>
    <w:rsid w:val="00DE762E"/>
    <w:rsid w:val="00DF0594"/>
    <w:rsid w:val="00DF073A"/>
    <w:rsid w:val="00DF1CF9"/>
    <w:rsid w:val="00DF343A"/>
    <w:rsid w:val="00DF4374"/>
    <w:rsid w:val="00DF5F6D"/>
    <w:rsid w:val="00DF7346"/>
    <w:rsid w:val="00DF7387"/>
    <w:rsid w:val="00E00CE9"/>
    <w:rsid w:val="00E02254"/>
    <w:rsid w:val="00E05198"/>
    <w:rsid w:val="00E057AC"/>
    <w:rsid w:val="00E07CDB"/>
    <w:rsid w:val="00E11AF4"/>
    <w:rsid w:val="00E11BC8"/>
    <w:rsid w:val="00E140AE"/>
    <w:rsid w:val="00E1433F"/>
    <w:rsid w:val="00E1714F"/>
    <w:rsid w:val="00E1765C"/>
    <w:rsid w:val="00E2013B"/>
    <w:rsid w:val="00E21274"/>
    <w:rsid w:val="00E212F5"/>
    <w:rsid w:val="00E2137C"/>
    <w:rsid w:val="00E2242B"/>
    <w:rsid w:val="00E22E45"/>
    <w:rsid w:val="00E23FEE"/>
    <w:rsid w:val="00E26269"/>
    <w:rsid w:val="00E27954"/>
    <w:rsid w:val="00E27A9D"/>
    <w:rsid w:val="00E321A8"/>
    <w:rsid w:val="00E3281C"/>
    <w:rsid w:val="00E333A0"/>
    <w:rsid w:val="00E340B9"/>
    <w:rsid w:val="00E352BD"/>
    <w:rsid w:val="00E35305"/>
    <w:rsid w:val="00E409A2"/>
    <w:rsid w:val="00E42388"/>
    <w:rsid w:val="00E43AF3"/>
    <w:rsid w:val="00E43B2F"/>
    <w:rsid w:val="00E43E7E"/>
    <w:rsid w:val="00E44B77"/>
    <w:rsid w:val="00E44F6A"/>
    <w:rsid w:val="00E44FCC"/>
    <w:rsid w:val="00E455BC"/>
    <w:rsid w:val="00E45645"/>
    <w:rsid w:val="00E45AC0"/>
    <w:rsid w:val="00E467BE"/>
    <w:rsid w:val="00E47C9A"/>
    <w:rsid w:val="00E5018F"/>
    <w:rsid w:val="00E50FC7"/>
    <w:rsid w:val="00E51DF8"/>
    <w:rsid w:val="00E536FF"/>
    <w:rsid w:val="00E54C65"/>
    <w:rsid w:val="00E5563F"/>
    <w:rsid w:val="00E55852"/>
    <w:rsid w:val="00E578AC"/>
    <w:rsid w:val="00E60909"/>
    <w:rsid w:val="00E614C6"/>
    <w:rsid w:val="00E66582"/>
    <w:rsid w:val="00E66596"/>
    <w:rsid w:val="00E6659A"/>
    <w:rsid w:val="00E677E3"/>
    <w:rsid w:val="00E70DBC"/>
    <w:rsid w:val="00E71356"/>
    <w:rsid w:val="00E72722"/>
    <w:rsid w:val="00E72804"/>
    <w:rsid w:val="00E73689"/>
    <w:rsid w:val="00E746CC"/>
    <w:rsid w:val="00E7527E"/>
    <w:rsid w:val="00E768C6"/>
    <w:rsid w:val="00E77868"/>
    <w:rsid w:val="00E77F02"/>
    <w:rsid w:val="00E81624"/>
    <w:rsid w:val="00E84EC8"/>
    <w:rsid w:val="00E85027"/>
    <w:rsid w:val="00E87DDD"/>
    <w:rsid w:val="00E92242"/>
    <w:rsid w:val="00E936B9"/>
    <w:rsid w:val="00E95F28"/>
    <w:rsid w:val="00E970FE"/>
    <w:rsid w:val="00EA11A0"/>
    <w:rsid w:val="00EA2D42"/>
    <w:rsid w:val="00EA35E3"/>
    <w:rsid w:val="00EA52B8"/>
    <w:rsid w:val="00EA5A0A"/>
    <w:rsid w:val="00EA63D4"/>
    <w:rsid w:val="00EA66ED"/>
    <w:rsid w:val="00EA6730"/>
    <w:rsid w:val="00EA7211"/>
    <w:rsid w:val="00EA7A74"/>
    <w:rsid w:val="00EB02D3"/>
    <w:rsid w:val="00EB0B63"/>
    <w:rsid w:val="00EB30D7"/>
    <w:rsid w:val="00EB3666"/>
    <w:rsid w:val="00EB3738"/>
    <w:rsid w:val="00EB74B2"/>
    <w:rsid w:val="00EC2E01"/>
    <w:rsid w:val="00EC34DA"/>
    <w:rsid w:val="00EC59C9"/>
    <w:rsid w:val="00EC6166"/>
    <w:rsid w:val="00EC6F4D"/>
    <w:rsid w:val="00ED1CE9"/>
    <w:rsid w:val="00ED230A"/>
    <w:rsid w:val="00ED2359"/>
    <w:rsid w:val="00ED26AA"/>
    <w:rsid w:val="00ED382A"/>
    <w:rsid w:val="00ED52C0"/>
    <w:rsid w:val="00ED560F"/>
    <w:rsid w:val="00ED5A86"/>
    <w:rsid w:val="00ED6D83"/>
    <w:rsid w:val="00EE0BEA"/>
    <w:rsid w:val="00EE1EE3"/>
    <w:rsid w:val="00EF161E"/>
    <w:rsid w:val="00EF5152"/>
    <w:rsid w:val="00EF55AF"/>
    <w:rsid w:val="00EF6624"/>
    <w:rsid w:val="00EF7AE8"/>
    <w:rsid w:val="00F000BF"/>
    <w:rsid w:val="00F073E2"/>
    <w:rsid w:val="00F0741B"/>
    <w:rsid w:val="00F07D21"/>
    <w:rsid w:val="00F07DC9"/>
    <w:rsid w:val="00F1062F"/>
    <w:rsid w:val="00F110B6"/>
    <w:rsid w:val="00F12331"/>
    <w:rsid w:val="00F12641"/>
    <w:rsid w:val="00F126E0"/>
    <w:rsid w:val="00F13654"/>
    <w:rsid w:val="00F15181"/>
    <w:rsid w:val="00F152E7"/>
    <w:rsid w:val="00F15427"/>
    <w:rsid w:val="00F15DCE"/>
    <w:rsid w:val="00F1616D"/>
    <w:rsid w:val="00F17BF8"/>
    <w:rsid w:val="00F22FA8"/>
    <w:rsid w:val="00F240D2"/>
    <w:rsid w:val="00F264A5"/>
    <w:rsid w:val="00F271FF"/>
    <w:rsid w:val="00F27BC8"/>
    <w:rsid w:val="00F30994"/>
    <w:rsid w:val="00F3110E"/>
    <w:rsid w:val="00F31629"/>
    <w:rsid w:val="00F32529"/>
    <w:rsid w:val="00F32D1E"/>
    <w:rsid w:val="00F33564"/>
    <w:rsid w:val="00F3554A"/>
    <w:rsid w:val="00F36891"/>
    <w:rsid w:val="00F377C9"/>
    <w:rsid w:val="00F407FD"/>
    <w:rsid w:val="00F415E6"/>
    <w:rsid w:val="00F4171B"/>
    <w:rsid w:val="00F4237F"/>
    <w:rsid w:val="00F43461"/>
    <w:rsid w:val="00F439C5"/>
    <w:rsid w:val="00F44D67"/>
    <w:rsid w:val="00F455F6"/>
    <w:rsid w:val="00F46BB5"/>
    <w:rsid w:val="00F50378"/>
    <w:rsid w:val="00F510F0"/>
    <w:rsid w:val="00F52906"/>
    <w:rsid w:val="00F54697"/>
    <w:rsid w:val="00F56A83"/>
    <w:rsid w:val="00F56F9F"/>
    <w:rsid w:val="00F63179"/>
    <w:rsid w:val="00F638A2"/>
    <w:rsid w:val="00F64177"/>
    <w:rsid w:val="00F65B1E"/>
    <w:rsid w:val="00F67378"/>
    <w:rsid w:val="00F71C72"/>
    <w:rsid w:val="00F738C3"/>
    <w:rsid w:val="00F74F55"/>
    <w:rsid w:val="00F777E7"/>
    <w:rsid w:val="00F81944"/>
    <w:rsid w:val="00F8200E"/>
    <w:rsid w:val="00F83245"/>
    <w:rsid w:val="00F85E3E"/>
    <w:rsid w:val="00F85F37"/>
    <w:rsid w:val="00F91609"/>
    <w:rsid w:val="00F91C68"/>
    <w:rsid w:val="00F92DB4"/>
    <w:rsid w:val="00F93684"/>
    <w:rsid w:val="00F939F6"/>
    <w:rsid w:val="00F94303"/>
    <w:rsid w:val="00F96B10"/>
    <w:rsid w:val="00F97530"/>
    <w:rsid w:val="00FA2088"/>
    <w:rsid w:val="00FA4194"/>
    <w:rsid w:val="00FA4B13"/>
    <w:rsid w:val="00FA52C1"/>
    <w:rsid w:val="00FA7295"/>
    <w:rsid w:val="00FA7D6B"/>
    <w:rsid w:val="00FB09D1"/>
    <w:rsid w:val="00FB3E3E"/>
    <w:rsid w:val="00FB49AD"/>
    <w:rsid w:val="00FB6314"/>
    <w:rsid w:val="00FB65CB"/>
    <w:rsid w:val="00FB683F"/>
    <w:rsid w:val="00FC2F42"/>
    <w:rsid w:val="00FC39E7"/>
    <w:rsid w:val="00FC5A30"/>
    <w:rsid w:val="00FC6F0B"/>
    <w:rsid w:val="00FD595D"/>
    <w:rsid w:val="00FD59B1"/>
    <w:rsid w:val="00FD5DA5"/>
    <w:rsid w:val="00FD5F2F"/>
    <w:rsid w:val="00FD6BB0"/>
    <w:rsid w:val="00FD72C2"/>
    <w:rsid w:val="00FE06AD"/>
    <w:rsid w:val="00FE0823"/>
    <w:rsid w:val="00FE2184"/>
    <w:rsid w:val="00FE28B0"/>
    <w:rsid w:val="00FE3001"/>
    <w:rsid w:val="00FE3AE1"/>
    <w:rsid w:val="00FE429C"/>
    <w:rsid w:val="00FE549F"/>
    <w:rsid w:val="00FE59A9"/>
    <w:rsid w:val="00FE5C63"/>
    <w:rsid w:val="00FE5F90"/>
    <w:rsid w:val="00FF18EA"/>
    <w:rsid w:val="00FF2D99"/>
    <w:rsid w:val="00FF600B"/>
    <w:rsid w:val="01026EE2"/>
    <w:rsid w:val="0103284B"/>
    <w:rsid w:val="01055685"/>
    <w:rsid w:val="010610D7"/>
    <w:rsid w:val="01125F33"/>
    <w:rsid w:val="011A46A9"/>
    <w:rsid w:val="011D1914"/>
    <w:rsid w:val="012D361C"/>
    <w:rsid w:val="01324301"/>
    <w:rsid w:val="013479B4"/>
    <w:rsid w:val="013A3F38"/>
    <w:rsid w:val="01484D9A"/>
    <w:rsid w:val="014A22FF"/>
    <w:rsid w:val="0150649C"/>
    <w:rsid w:val="015518FA"/>
    <w:rsid w:val="015866F2"/>
    <w:rsid w:val="015D41B0"/>
    <w:rsid w:val="015E12A6"/>
    <w:rsid w:val="01647DDD"/>
    <w:rsid w:val="016A7987"/>
    <w:rsid w:val="017718CB"/>
    <w:rsid w:val="01775825"/>
    <w:rsid w:val="01792C1E"/>
    <w:rsid w:val="01807C54"/>
    <w:rsid w:val="01837A3E"/>
    <w:rsid w:val="01850B7D"/>
    <w:rsid w:val="0187007A"/>
    <w:rsid w:val="018C62A0"/>
    <w:rsid w:val="0191143C"/>
    <w:rsid w:val="019316BB"/>
    <w:rsid w:val="0199383D"/>
    <w:rsid w:val="019B3D06"/>
    <w:rsid w:val="019F6073"/>
    <w:rsid w:val="01AD73C6"/>
    <w:rsid w:val="01B13812"/>
    <w:rsid w:val="01B47563"/>
    <w:rsid w:val="01B56E9C"/>
    <w:rsid w:val="01B81359"/>
    <w:rsid w:val="01C14107"/>
    <w:rsid w:val="01C33C7C"/>
    <w:rsid w:val="01C50DC8"/>
    <w:rsid w:val="01C54E2A"/>
    <w:rsid w:val="01C628DF"/>
    <w:rsid w:val="01D47FD9"/>
    <w:rsid w:val="01D51952"/>
    <w:rsid w:val="01D52CFB"/>
    <w:rsid w:val="01D84D4D"/>
    <w:rsid w:val="01DB1B5F"/>
    <w:rsid w:val="01E44310"/>
    <w:rsid w:val="01EB7F3C"/>
    <w:rsid w:val="01ED5476"/>
    <w:rsid w:val="01FA33B3"/>
    <w:rsid w:val="02032B53"/>
    <w:rsid w:val="021375C7"/>
    <w:rsid w:val="021F7695"/>
    <w:rsid w:val="023A4DE3"/>
    <w:rsid w:val="0240140B"/>
    <w:rsid w:val="0240472F"/>
    <w:rsid w:val="0244596E"/>
    <w:rsid w:val="0250037A"/>
    <w:rsid w:val="02597DF2"/>
    <w:rsid w:val="025C4648"/>
    <w:rsid w:val="025F45AA"/>
    <w:rsid w:val="02613027"/>
    <w:rsid w:val="027666A3"/>
    <w:rsid w:val="027C3E72"/>
    <w:rsid w:val="02871E7E"/>
    <w:rsid w:val="028B0F65"/>
    <w:rsid w:val="02945DA6"/>
    <w:rsid w:val="02997774"/>
    <w:rsid w:val="029B36D2"/>
    <w:rsid w:val="02A31537"/>
    <w:rsid w:val="02A363B6"/>
    <w:rsid w:val="02A53D50"/>
    <w:rsid w:val="02AA69FA"/>
    <w:rsid w:val="02AF1320"/>
    <w:rsid w:val="02C02D72"/>
    <w:rsid w:val="02C41F0F"/>
    <w:rsid w:val="02CB1B48"/>
    <w:rsid w:val="02D92DD9"/>
    <w:rsid w:val="02DA206D"/>
    <w:rsid w:val="02DA573B"/>
    <w:rsid w:val="02DD7477"/>
    <w:rsid w:val="02E2182E"/>
    <w:rsid w:val="02E249AC"/>
    <w:rsid w:val="02E428B7"/>
    <w:rsid w:val="02EC1897"/>
    <w:rsid w:val="02EC78F1"/>
    <w:rsid w:val="02F452C6"/>
    <w:rsid w:val="02F85D78"/>
    <w:rsid w:val="02FA7D9D"/>
    <w:rsid w:val="02FA7F19"/>
    <w:rsid w:val="02FC58B2"/>
    <w:rsid w:val="030254F4"/>
    <w:rsid w:val="03061039"/>
    <w:rsid w:val="030A2D5D"/>
    <w:rsid w:val="030D0317"/>
    <w:rsid w:val="030E4068"/>
    <w:rsid w:val="031129D2"/>
    <w:rsid w:val="0311632B"/>
    <w:rsid w:val="031262F0"/>
    <w:rsid w:val="031336A2"/>
    <w:rsid w:val="031652A5"/>
    <w:rsid w:val="031E1390"/>
    <w:rsid w:val="031E4C11"/>
    <w:rsid w:val="032069AC"/>
    <w:rsid w:val="032206B0"/>
    <w:rsid w:val="032210AC"/>
    <w:rsid w:val="03233994"/>
    <w:rsid w:val="0324543C"/>
    <w:rsid w:val="03252B29"/>
    <w:rsid w:val="032C37CF"/>
    <w:rsid w:val="0331625A"/>
    <w:rsid w:val="033B1564"/>
    <w:rsid w:val="03433410"/>
    <w:rsid w:val="03485F0B"/>
    <w:rsid w:val="034A4810"/>
    <w:rsid w:val="034F7D3E"/>
    <w:rsid w:val="03507BE8"/>
    <w:rsid w:val="03551C93"/>
    <w:rsid w:val="036722B1"/>
    <w:rsid w:val="03756F64"/>
    <w:rsid w:val="03760FDB"/>
    <w:rsid w:val="037B6EB5"/>
    <w:rsid w:val="037C2092"/>
    <w:rsid w:val="037E2372"/>
    <w:rsid w:val="037E39EF"/>
    <w:rsid w:val="0380772F"/>
    <w:rsid w:val="039225F4"/>
    <w:rsid w:val="03925914"/>
    <w:rsid w:val="03944789"/>
    <w:rsid w:val="03962598"/>
    <w:rsid w:val="0396700E"/>
    <w:rsid w:val="039944FA"/>
    <w:rsid w:val="039A19EC"/>
    <w:rsid w:val="039F5D1B"/>
    <w:rsid w:val="03AA5810"/>
    <w:rsid w:val="03AC12EB"/>
    <w:rsid w:val="03AF10BE"/>
    <w:rsid w:val="03B57DD5"/>
    <w:rsid w:val="03B62C6B"/>
    <w:rsid w:val="03B920F6"/>
    <w:rsid w:val="03BC4599"/>
    <w:rsid w:val="03BC6280"/>
    <w:rsid w:val="03BD1F38"/>
    <w:rsid w:val="03CA4EF2"/>
    <w:rsid w:val="03CD3085"/>
    <w:rsid w:val="03CE5E52"/>
    <w:rsid w:val="03CF6B9C"/>
    <w:rsid w:val="03E028C7"/>
    <w:rsid w:val="03E07586"/>
    <w:rsid w:val="03E63CAD"/>
    <w:rsid w:val="03EB3567"/>
    <w:rsid w:val="03EC154D"/>
    <w:rsid w:val="03EC266D"/>
    <w:rsid w:val="03F04DC2"/>
    <w:rsid w:val="03F057E8"/>
    <w:rsid w:val="03F53EE2"/>
    <w:rsid w:val="03FC0CC5"/>
    <w:rsid w:val="040961F5"/>
    <w:rsid w:val="0411307C"/>
    <w:rsid w:val="04182EBF"/>
    <w:rsid w:val="041D6CC8"/>
    <w:rsid w:val="041D7A8F"/>
    <w:rsid w:val="041F1799"/>
    <w:rsid w:val="04274814"/>
    <w:rsid w:val="04342B7C"/>
    <w:rsid w:val="04357A7E"/>
    <w:rsid w:val="043B2EC0"/>
    <w:rsid w:val="043B7EE9"/>
    <w:rsid w:val="043C3380"/>
    <w:rsid w:val="04405363"/>
    <w:rsid w:val="04414DB5"/>
    <w:rsid w:val="044C0BDE"/>
    <w:rsid w:val="044E2A85"/>
    <w:rsid w:val="04602A36"/>
    <w:rsid w:val="04626C00"/>
    <w:rsid w:val="046A3384"/>
    <w:rsid w:val="047160AD"/>
    <w:rsid w:val="047D7D09"/>
    <w:rsid w:val="0482531C"/>
    <w:rsid w:val="04827831"/>
    <w:rsid w:val="04891D97"/>
    <w:rsid w:val="048A28F1"/>
    <w:rsid w:val="04954846"/>
    <w:rsid w:val="04965340"/>
    <w:rsid w:val="049803BF"/>
    <w:rsid w:val="04992B87"/>
    <w:rsid w:val="04A90589"/>
    <w:rsid w:val="04A9193C"/>
    <w:rsid w:val="04B51BBE"/>
    <w:rsid w:val="04BC3C7E"/>
    <w:rsid w:val="04C01A1D"/>
    <w:rsid w:val="04C82AE7"/>
    <w:rsid w:val="04E30660"/>
    <w:rsid w:val="04E575BF"/>
    <w:rsid w:val="04EB0057"/>
    <w:rsid w:val="04EC4AA2"/>
    <w:rsid w:val="04F419D9"/>
    <w:rsid w:val="04F96932"/>
    <w:rsid w:val="04F96DB2"/>
    <w:rsid w:val="0502242E"/>
    <w:rsid w:val="050244DF"/>
    <w:rsid w:val="05072737"/>
    <w:rsid w:val="05077163"/>
    <w:rsid w:val="050838F0"/>
    <w:rsid w:val="050F44E9"/>
    <w:rsid w:val="05144D27"/>
    <w:rsid w:val="051B2AB4"/>
    <w:rsid w:val="051F0F1C"/>
    <w:rsid w:val="05242E32"/>
    <w:rsid w:val="0525618F"/>
    <w:rsid w:val="05270A38"/>
    <w:rsid w:val="05287442"/>
    <w:rsid w:val="052C34C3"/>
    <w:rsid w:val="053400F9"/>
    <w:rsid w:val="05377814"/>
    <w:rsid w:val="053E3284"/>
    <w:rsid w:val="05446D03"/>
    <w:rsid w:val="054E4025"/>
    <w:rsid w:val="054F19A7"/>
    <w:rsid w:val="05562886"/>
    <w:rsid w:val="05567793"/>
    <w:rsid w:val="05572C83"/>
    <w:rsid w:val="055938FD"/>
    <w:rsid w:val="056105A0"/>
    <w:rsid w:val="05617094"/>
    <w:rsid w:val="05645C64"/>
    <w:rsid w:val="05701B1D"/>
    <w:rsid w:val="057F019B"/>
    <w:rsid w:val="05873B2D"/>
    <w:rsid w:val="058804C1"/>
    <w:rsid w:val="058A3557"/>
    <w:rsid w:val="058B65AF"/>
    <w:rsid w:val="0590004D"/>
    <w:rsid w:val="05910C84"/>
    <w:rsid w:val="0593217C"/>
    <w:rsid w:val="059A02E8"/>
    <w:rsid w:val="05A038C9"/>
    <w:rsid w:val="05A83409"/>
    <w:rsid w:val="05A91921"/>
    <w:rsid w:val="05C06ADD"/>
    <w:rsid w:val="05C1187B"/>
    <w:rsid w:val="05C36B0C"/>
    <w:rsid w:val="05C966E2"/>
    <w:rsid w:val="05C9692C"/>
    <w:rsid w:val="05CD0954"/>
    <w:rsid w:val="05CE1193"/>
    <w:rsid w:val="05D9677E"/>
    <w:rsid w:val="05E52BF3"/>
    <w:rsid w:val="05E9662A"/>
    <w:rsid w:val="05F1246F"/>
    <w:rsid w:val="05F538FA"/>
    <w:rsid w:val="05FD49C2"/>
    <w:rsid w:val="060319A9"/>
    <w:rsid w:val="0610795A"/>
    <w:rsid w:val="06175978"/>
    <w:rsid w:val="0619358C"/>
    <w:rsid w:val="06204069"/>
    <w:rsid w:val="062C7AF9"/>
    <w:rsid w:val="06312C1A"/>
    <w:rsid w:val="0631509D"/>
    <w:rsid w:val="06364336"/>
    <w:rsid w:val="063745D2"/>
    <w:rsid w:val="063A7F94"/>
    <w:rsid w:val="0640586D"/>
    <w:rsid w:val="064936D0"/>
    <w:rsid w:val="064F050A"/>
    <w:rsid w:val="066324B6"/>
    <w:rsid w:val="06746E8D"/>
    <w:rsid w:val="067A52DE"/>
    <w:rsid w:val="06881B50"/>
    <w:rsid w:val="068A42FF"/>
    <w:rsid w:val="068B051E"/>
    <w:rsid w:val="068F5522"/>
    <w:rsid w:val="06900CE3"/>
    <w:rsid w:val="06A564E2"/>
    <w:rsid w:val="06B37672"/>
    <w:rsid w:val="06BA4171"/>
    <w:rsid w:val="06BB663F"/>
    <w:rsid w:val="06C27125"/>
    <w:rsid w:val="06C56F8D"/>
    <w:rsid w:val="06C83CE3"/>
    <w:rsid w:val="06CD18AE"/>
    <w:rsid w:val="06D46D0F"/>
    <w:rsid w:val="06E5631A"/>
    <w:rsid w:val="06E61D0F"/>
    <w:rsid w:val="06F27036"/>
    <w:rsid w:val="06F55CE9"/>
    <w:rsid w:val="06FC532E"/>
    <w:rsid w:val="06FD64FE"/>
    <w:rsid w:val="07080A9D"/>
    <w:rsid w:val="0709502C"/>
    <w:rsid w:val="07185A49"/>
    <w:rsid w:val="0719299F"/>
    <w:rsid w:val="071A24DF"/>
    <w:rsid w:val="07205596"/>
    <w:rsid w:val="07206D34"/>
    <w:rsid w:val="07252EB6"/>
    <w:rsid w:val="07261969"/>
    <w:rsid w:val="07295C59"/>
    <w:rsid w:val="072A613A"/>
    <w:rsid w:val="07372FD8"/>
    <w:rsid w:val="0741312F"/>
    <w:rsid w:val="074622EA"/>
    <w:rsid w:val="074A0EE1"/>
    <w:rsid w:val="074C4DCF"/>
    <w:rsid w:val="074F2332"/>
    <w:rsid w:val="075D5BCA"/>
    <w:rsid w:val="075F3F92"/>
    <w:rsid w:val="07625280"/>
    <w:rsid w:val="07690155"/>
    <w:rsid w:val="076E0124"/>
    <w:rsid w:val="077069E2"/>
    <w:rsid w:val="07737B1B"/>
    <w:rsid w:val="077943AD"/>
    <w:rsid w:val="077F7479"/>
    <w:rsid w:val="078D4210"/>
    <w:rsid w:val="078E0193"/>
    <w:rsid w:val="07911D96"/>
    <w:rsid w:val="0791342B"/>
    <w:rsid w:val="079A48CD"/>
    <w:rsid w:val="079B191A"/>
    <w:rsid w:val="079C1777"/>
    <w:rsid w:val="07B03EED"/>
    <w:rsid w:val="07B379BF"/>
    <w:rsid w:val="07B65DB5"/>
    <w:rsid w:val="07B92542"/>
    <w:rsid w:val="07BD27E9"/>
    <w:rsid w:val="07CC584F"/>
    <w:rsid w:val="07CF5ED4"/>
    <w:rsid w:val="07CF62B9"/>
    <w:rsid w:val="07D17686"/>
    <w:rsid w:val="07D355CC"/>
    <w:rsid w:val="07D75660"/>
    <w:rsid w:val="07D844D4"/>
    <w:rsid w:val="07D90EA4"/>
    <w:rsid w:val="07DC1699"/>
    <w:rsid w:val="07E35AB1"/>
    <w:rsid w:val="07F24B5F"/>
    <w:rsid w:val="07F65BF1"/>
    <w:rsid w:val="07FB4E2D"/>
    <w:rsid w:val="07FC2D31"/>
    <w:rsid w:val="07FF0707"/>
    <w:rsid w:val="08051366"/>
    <w:rsid w:val="080751C4"/>
    <w:rsid w:val="080A35EF"/>
    <w:rsid w:val="080B3135"/>
    <w:rsid w:val="080B75DE"/>
    <w:rsid w:val="080C4E5F"/>
    <w:rsid w:val="08164FE3"/>
    <w:rsid w:val="081F2BB8"/>
    <w:rsid w:val="081F4413"/>
    <w:rsid w:val="08270B88"/>
    <w:rsid w:val="0831693D"/>
    <w:rsid w:val="08337AE5"/>
    <w:rsid w:val="083530AB"/>
    <w:rsid w:val="083A01DE"/>
    <w:rsid w:val="083A6166"/>
    <w:rsid w:val="084C619B"/>
    <w:rsid w:val="085300BF"/>
    <w:rsid w:val="08547035"/>
    <w:rsid w:val="085A63E5"/>
    <w:rsid w:val="085C0BF1"/>
    <w:rsid w:val="086E4801"/>
    <w:rsid w:val="086E4CCD"/>
    <w:rsid w:val="087320F8"/>
    <w:rsid w:val="087368AA"/>
    <w:rsid w:val="0877606F"/>
    <w:rsid w:val="08812F45"/>
    <w:rsid w:val="088435A2"/>
    <w:rsid w:val="088B5AC7"/>
    <w:rsid w:val="08924285"/>
    <w:rsid w:val="08932FA4"/>
    <w:rsid w:val="08971019"/>
    <w:rsid w:val="089773CA"/>
    <w:rsid w:val="08980BAE"/>
    <w:rsid w:val="089F4E02"/>
    <w:rsid w:val="08AF2A09"/>
    <w:rsid w:val="08B22737"/>
    <w:rsid w:val="08B34DFC"/>
    <w:rsid w:val="08B60D54"/>
    <w:rsid w:val="08BE073C"/>
    <w:rsid w:val="08C87B07"/>
    <w:rsid w:val="08C95C7F"/>
    <w:rsid w:val="08CC0FF9"/>
    <w:rsid w:val="08CC36F3"/>
    <w:rsid w:val="08D104B1"/>
    <w:rsid w:val="08D25C7B"/>
    <w:rsid w:val="08D3676B"/>
    <w:rsid w:val="08D74E5D"/>
    <w:rsid w:val="08DB2576"/>
    <w:rsid w:val="08DE186A"/>
    <w:rsid w:val="08E60409"/>
    <w:rsid w:val="08EA40FC"/>
    <w:rsid w:val="08EC2848"/>
    <w:rsid w:val="08F179D4"/>
    <w:rsid w:val="08F61ADD"/>
    <w:rsid w:val="08F713D1"/>
    <w:rsid w:val="08FB485D"/>
    <w:rsid w:val="08FC546F"/>
    <w:rsid w:val="08FF072B"/>
    <w:rsid w:val="09033045"/>
    <w:rsid w:val="090E35C1"/>
    <w:rsid w:val="092473E0"/>
    <w:rsid w:val="09313112"/>
    <w:rsid w:val="0939150C"/>
    <w:rsid w:val="09443D39"/>
    <w:rsid w:val="094E3EB6"/>
    <w:rsid w:val="09522F2B"/>
    <w:rsid w:val="095D3A17"/>
    <w:rsid w:val="095F40BE"/>
    <w:rsid w:val="09646226"/>
    <w:rsid w:val="096A657A"/>
    <w:rsid w:val="096B01A1"/>
    <w:rsid w:val="09740937"/>
    <w:rsid w:val="097967C2"/>
    <w:rsid w:val="097B6AD1"/>
    <w:rsid w:val="097D1872"/>
    <w:rsid w:val="09884527"/>
    <w:rsid w:val="09920C2D"/>
    <w:rsid w:val="0993211C"/>
    <w:rsid w:val="09A26C72"/>
    <w:rsid w:val="09B03581"/>
    <w:rsid w:val="09B36D70"/>
    <w:rsid w:val="09BD050C"/>
    <w:rsid w:val="09C53590"/>
    <w:rsid w:val="09E764C8"/>
    <w:rsid w:val="09E8403E"/>
    <w:rsid w:val="09ED4D33"/>
    <w:rsid w:val="09EF741B"/>
    <w:rsid w:val="09F27FB1"/>
    <w:rsid w:val="09FD7001"/>
    <w:rsid w:val="09FF0D89"/>
    <w:rsid w:val="0A034F74"/>
    <w:rsid w:val="0A03602B"/>
    <w:rsid w:val="0A0450E7"/>
    <w:rsid w:val="0A0E3E75"/>
    <w:rsid w:val="0A0E72EE"/>
    <w:rsid w:val="0A220B77"/>
    <w:rsid w:val="0A2344F2"/>
    <w:rsid w:val="0A287849"/>
    <w:rsid w:val="0A2A02BD"/>
    <w:rsid w:val="0A3B31F6"/>
    <w:rsid w:val="0A427855"/>
    <w:rsid w:val="0A582722"/>
    <w:rsid w:val="0A61125B"/>
    <w:rsid w:val="0A6B6753"/>
    <w:rsid w:val="0A6E6EF6"/>
    <w:rsid w:val="0A7027A3"/>
    <w:rsid w:val="0A7306D9"/>
    <w:rsid w:val="0A73589B"/>
    <w:rsid w:val="0A9F6046"/>
    <w:rsid w:val="0AA8043B"/>
    <w:rsid w:val="0AAC48E1"/>
    <w:rsid w:val="0AAF3A75"/>
    <w:rsid w:val="0ABD5BBB"/>
    <w:rsid w:val="0AC4431B"/>
    <w:rsid w:val="0AD2340E"/>
    <w:rsid w:val="0AD71399"/>
    <w:rsid w:val="0AE015D2"/>
    <w:rsid w:val="0AE32F58"/>
    <w:rsid w:val="0AE6265A"/>
    <w:rsid w:val="0AE87957"/>
    <w:rsid w:val="0AEA6439"/>
    <w:rsid w:val="0AEA6DFA"/>
    <w:rsid w:val="0AEE3D12"/>
    <w:rsid w:val="0AF26E95"/>
    <w:rsid w:val="0AF36B35"/>
    <w:rsid w:val="0AFD4029"/>
    <w:rsid w:val="0B0B7C71"/>
    <w:rsid w:val="0B153096"/>
    <w:rsid w:val="0B190361"/>
    <w:rsid w:val="0B247DD4"/>
    <w:rsid w:val="0B262617"/>
    <w:rsid w:val="0B280EBF"/>
    <w:rsid w:val="0B287DCD"/>
    <w:rsid w:val="0B291D6C"/>
    <w:rsid w:val="0B2B3619"/>
    <w:rsid w:val="0B2E2C1D"/>
    <w:rsid w:val="0B307611"/>
    <w:rsid w:val="0B314B2E"/>
    <w:rsid w:val="0B3447D4"/>
    <w:rsid w:val="0B34762B"/>
    <w:rsid w:val="0B384C00"/>
    <w:rsid w:val="0B390778"/>
    <w:rsid w:val="0B3A42E3"/>
    <w:rsid w:val="0B3D2999"/>
    <w:rsid w:val="0B480704"/>
    <w:rsid w:val="0B48568B"/>
    <w:rsid w:val="0B507560"/>
    <w:rsid w:val="0B5A70F7"/>
    <w:rsid w:val="0B617172"/>
    <w:rsid w:val="0B6A5CBF"/>
    <w:rsid w:val="0B6B7B25"/>
    <w:rsid w:val="0B6E45CD"/>
    <w:rsid w:val="0B7A78B5"/>
    <w:rsid w:val="0B7F6C71"/>
    <w:rsid w:val="0B802FA5"/>
    <w:rsid w:val="0B8059C4"/>
    <w:rsid w:val="0B83379C"/>
    <w:rsid w:val="0B840306"/>
    <w:rsid w:val="0B8D6019"/>
    <w:rsid w:val="0B903C6E"/>
    <w:rsid w:val="0B917515"/>
    <w:rsid w:val="0B921BF6"/>
    <w:rsid w:val="0B957558"/>
    <w:rsid w:val="0B99682F"/>
    <w:rsid w:val="0B9A18E1"/>
    <w:rsid w:val="0B9A7442"/>
    <w:rsid w:val="0B9B0266"/>
    <w:rsid w:val="0B9B43AC"/>
    <w:rsid w:val="0BA52BF8"/>
    <w:rsid w:val="0BAF32A3"/>
    <w:rsid w:val="0BB01AAE"/>
    <w:rsid w:val="0BB02264"/>
    <w:rsid w:val="0BB709E7"/>
    <w:rsid w:val="0BCA13B9"/>
    <w:rsid w:val="0BDB2D0D"/>
    <w:rsid w:val="0BDF1B22"/>
    <w:rsid w:val="0BE10CCA"/>
    <w:rsid w:val="0BE12676"/>
    <w:rsid w:val="0BE74346"/>
    <w:rsid w:val="0BEA0ACF"/>
    <w:rsid w:val="0BF677F6"/>
    <w:rsid w:val="0BFA45A9"/>
    <w:rsid w:val="0BFC7E79"/>
    <w:rsid w:val="0C0128FC"/>
    <w:rsid w:val="0C0D50B9"/>
    <w:rsid w:val="0C0E53F6"/>
    <w:rsid w:val="0C11636A"/>
    <w:rsid w:val="0C13714A"/>
    <w:rsid w:val="0C145415"/>
    <w:rsid w:val="0C154523"/>
    <w:rsid w:val="0C18109A"/>
    <w:rsid w:val="0C1A05D3"/>
    <w:rsid w:val="0C1B7E64"/>
    <w:rsid w:val="0C260E5F"/>
    <w:rsid w:val="0C2B5FA9"/>
    <w:rsid w:val="0C3112E2"/>
    <w:rsid w:val="0C3126E0"/>
    <w:rsid w:val="0C4048FF"/>
    <w:rsid w:val="0C406547"/>
    <w:rsid w:val="0C4242E9"/>
    <w:rsid w:val="0C454A45"/>
    <w:rsid w:val="0C52020E"/>
    <w:rsid w:val="0C5D667F"/>
    <w:rsid w:val="0C646F70"/>
    <w:rsid w:val="0C657BFD"/>
    <w:rsid w:val="0C66505A"/>
    <w:rsid w:val="0C837A10"/>
    <w:rsid w:val="0CA169CE"/>
    <w:rsid w:val="0CA26CA4"/>
    <w:rsid w:val="0CAA58E1"/>
    <w:rsid w:val="0CAF2955"/>
    <w:rsid w:val="0CB36FBE"/>
    <w:rsid w:val="0CB37B2B"/>
    <w:rsid w:val="0CB57C89"/>
    <w:rsid w:val="0CBB5443"/>
    <w:rsid w:val="0CC944A0"/>
    <w:rsid w:val="0CCB517F"/>
    <w:rsid w:val="0CE34F5D"/>
    <w:rsid w:val="0CEA5336"/>
    <w:rsid w:val="0CED2B14"/>
    <w:rsid w:val="0CF42A8D"/>
    <w:rsid w:val="0CFA2B21"/>
    <w:rsid w:val="0D0A6F4D"/>
    <w:rsid w:val="0D15601A"/>
    <w:rsid w:val="0D17467A"/>
    <w:rsid w:val="0D1B1E88"/>
    <w:rsid w:val="0D1F06E7"/>
    <w:rsid w:val="0D253E33"/>
    <w:rsid w:val="0D2B37FD"/>
    <w:rsid w:val="0D2B3BF3"/>
    <w:rsid w:val="0D3D73A2"/>
    <w:rsid w:val="0D3E5982"/>
    <w:rsid w:val="0D4E58D9"/>
    <w:rsid w:val="0D54339D"/>
    <w:rsid w:val="0D6C1F23"/>
    <w:rsid w:val="0D6C24C5"/>
    <w:rsid w:val="0D7D60E4"/>
    <w:rsid w:val="0D806204"/>
    <w:rsid w:val="0D83182D"/>
    <w:rsid w:val="0D87514C"/>
    <w:rsid w:val="0D896F08"/>
    <w:rsid w:val="0D9E1824"/>
    <w:rsid w:val="0DA610B3"/>
    <w:rsid w:val="0DAA3049"/>
    <w:rsid w:val="0DAC405A"/>
    <w:rsid w:val="0DBD7878"/>
    <w:rsid w:val="0DBF1EA9"/>
    <w:rsid w:val="0DC37103"/>
    <w:rsid w:val="0DCE6807"/>
    <w:rsid w:val="0DD1575B"/>
    <w:rsid w:val="0DE2233E"/>
    <w:rsid w:val="0DE47099"/>
    <w:rsid w:val="0DF32B15"/>
    <w:rsid w:val="0DF7732E"/>
    <w:rsid w:val="0DFC5423"/>
    <w:rsid w:val="0E0364F5"/>
    <w:rsid w:val="0E045138"/>
    <w:rsid w:val="0E063275"/>
    <w:rsid w:val="0E10114F"/>
    <w:rsid w:val="0E2652FB"/>
    <w:rsid w:val="0E303EC5"/>
    <w:rsid w:val="0E3328E8"/>
    <w:rsid w:val="0E3B2556"/>
    <w:rsid w:val="0E3E0214"/>
    <w:rsid w:val="0E42376F"/>
    <w:rsid w:val="0E465F47"/>
    <w:rsid w:val="0E473D7D"/>
    <w:rsid w:val="0E49210B"/>
    <w:rsid w:val="0E5139F9"/>
    <w:rsid w:val="0E5450ED"/>
    <w:rsid w:val="0E5826B2"/>
    <w:rsid w:val="0E662E50"/>
    <w:rsid w:val="0E666195"/>
    <w:rsid w:val="0E8910FE"/>
    <w:rsid w:val="0E8E0FBB"/>
    <w:rsid w:val="0E9370EB"/>
    <w:rsid w:val="0E990DD7"/>
    <w:rsid w:val="0EA11062"/>
    <w:rsid w:val="0EA26E06"/>
    <w:rsid w:val="0EAE6243"/>
    <w:rsid w:val="0EB1703A"/>
    <w:rsid w:val="0EB25465"/>
    <w:rsid w:val="0EB54A0B"/>
    <w:rsid w:val="0EB67B3D"/>
    <w:rsid w:val="0EBA083C"/>
    <w:rsid w:val="0EBC1DC8"/>
    <w:rsid w:val="0EC14D7D"/>
    <w:rsid w:val="0EC56824"/>
    <w:rsid w:val="0EC7197C"/>
    <w:rsid w:val="0EC810D3"/>
    <w:rsid w:val="0ECB4CF7"/>
    <w:rsid w:val="0ED62076"/>
    <w:rsid w:val="0EE01765"/>
    <w:rsid w:val="0EE02834"/>
    <w:rsid w:val="0EE43013"/>
    <w:rsid w:val="0EE47202"/>
    <w:rsid w:val="0EE5124A"/>
    <w:rsid w:val="0EE71A1A"/>
    <w:rsid w:val="0EE740CC"/>
    <w:rsid w:val="0EED1E0F"/>
    <w:rsid w:val="0EF12973"/>
    <w:rsid w:val="0EF3502C"/>
    <w:rsid w:val="0EFD6C05"/>
    <w:rsid w:val="0EFF04F7"/>
    <w:rsid w:val="0F091441"/>
    <w:rsid w:val="0F0B3568"/>
    <w:rsid w:val="0F0F7C05"/>
    <w:rsid w:val="0F0F7E09"/>
    <w:rsid w:val="0F1550D6"/>
    <w:rsid w:val="0F1D430C"/>
    <w:rsid w:val="0F24113D"/>
    <w:rsid w:val="0F246A15"/>
    <w:rsid w:val="0F2A1022"/>
    <w:rsid w:val="0F2B2568"/>
    <w:rsid w:val="0F2E4BAB"/>
    <w:rsid w:val="0F375312"/>
    <w:rsid w:val="0F39564D"/>
    <w:rsid w:val="0F48715C"/>
    <w:rsid w:val="0F49259E"/>
    <w:rsid w:val="0F493A5F"/>
    <w:rsid w:val="0F5E3CD5"/>
    <w:rsid w:val="0F6020C8"/>
    <w:rsid w:val="0F6D45D2"/>
    <w:rsid w:val="0F746988"/>
    <w:rsid w:val="0F752911"/>
    <w:rsid w:val="0F7D1C1D"/>
    <w:rsid w:val="0F7E00EE"/>
    <w:rsid w:val="0F8220F0"/>
    <w:rsid w:val="0F836AE5"/>
    <w:rsid w:val="0F8551F4"/>
    <w:rsid w:val="0F8E5D1F"/>
    <w:rsid w:val="0F996ADE"/>
    <w:rsid w:val="0F9C13AC"/>
    <w:rsid w:val="0FA04F71"/>
    <w:rsid w:val="0FB25657"/>
    <w:rsid w:val="0FB55F72"/>
    <w:rsid w:val="0FBB3904"/>
    <w:rsid w:val="0FBC0CAC"/>
    <w:rsid w:val="0FBF4363"/>
    <w:rsid w:val="0FC245F4"/>
    <w:rsid w:val="0FD4046E"/>
    <w:rsid w:val="0FD61556"/>
    <w:rsid w:val="0FE32116"/>
    <w:rsid w:val="0FE64FDB"/>
    <w:rsid w:val="100261D9"/>
    <w:rsid w:val="100D04C4"/>
    <w:rsid w:val="101C231D"/>
    <w:rsid w:val="102033F0"/>
    <w:rsid w:val="10211FD8"/>
    <w:rsid w:val="1023526B"/>
    <w:rsid w:val="10303E9C"/>
    <w:rsid w:val="10334139"/>
    <w:rsid w:val="103E673D"/>
    <w:rsid w:val="103F6CF3"/>
    <w:rsid w:val="10491C22"/>
    <w:rsid w:val="104D42C0"/>
    <w:rsid w:val="104D66F3"/>
    <w:rsid w:val="10530F0F"/>
    <w:rsid w:val="10552222"/>
    <w:rsid w:val="1056319C"/>
    <w:rsid w:val="10564307"/>
    <w:rsid w:val="1066477A"/>
    <w:rsid w:val="106B7F55"/>
    <w:rsid w:val="106C202D"/>
    <w:rsid w:val="10792BE6"/>
    <w:rsid w:val="107C2D88"/>
    <w:rsid w:val="1080284F"/>
    <w:rsid w:val="10805B02"/>
    <w:rsid w:val="108C18CA"/>
    <w:rsid w:val="108F004B"/>
    <w:rsid w:val="10930964"/>
    <w:rsid w:val="10997A8C"/>
    <w:rsid w:val="109A78CB"/>
    <w:rsid w:val="10A446EB"/>
    <w:rsid w:val="10AE12EC"/>
    <w:rsid w:val="10CA5B9A"/>
    <w:rsid w:val="10CB37FC"/>
    <w:rsid w:val="10CC6343"/>
    <w:rsid w:val="10CE716F"/>
    <w:rsid w:val="10DA4E3D"/>
    <w:rsid w:val="10DC2FF1"/>
    <w:rsid w:val="10E010E9"/>
    <w:rsid w:val="10E47F31"/>
    <w:rsid w:val="10EA2DF0"/>
    <w:rsid w:val="10EA3DF4"/>
    <w:rsid w:val="110A58B6"/>
    <w:rsid w:val="110C1A05"/>
    <w:rsid w:val="110C4191"/>
    <w:rsid w:val="110C5D67"/>
    <w:rsid w:val="11114276"/>
    <w:rsid w:val="11126DC8"/>
    <w:rsid w:val="111908E2"/>
    <w:rsid w:val="11194E29"/>
    <w:rsid w:val="111A4A6B"/>
    <w:rsid w:val="112623BD"/>
    <w:rsid w:val="11291EF0"/>
    <w:rsid w:val="11313F1A"/>
    <w:rsid w:val="113238D6"/>
    <w:rsid w:val="11341225"/>
    <w:rsid w:val="11362D34"/>
    <w:rsid w:val="11364AFF"/>
    <w:rsid w:val="113B134B"/>
    <w:rsid w:val="113D1E77"/>
    <w:rsid w:val="113D3FCE"/>
    <w:rsid w:val="113E13F0"/>
    <w:rsid w:val="11481652"/>
    <w:rsid w:val="114C39F9"/>
    <w:rsid w:val="11573CE8"/>
    <w:rsid w:val="115E164C"/>
    <w:rsid w:val="116B0173"/>
    <w:rsid w:val="11751956"/>
    <w:rsid w:val="117F30CA"/>
    <w:rsid w:val="11807200"/>
    <w:rsid w:val="1187310E"/>
    <w:rsid w:val="118767D1"/>
    <w:rsid w:val="11877097"/>
    <w:rsid w:val="118F7955"/>
    <w:rsid w:val="11994909"/>
    <w:rsid w:val="119B112B"/>
    <w:rsid w:val="11A877D7"/>
    <w:rsid w:val="11B01B79"/>
    <w:rsid w:val="11B10114"/>
    <w:rsid w:val="11B31C09"/>
    <w:rsid w:val="11BD4181"/>
    <w:rsid w:val="11C62C41"/>
    <w:rsid w:val="11DB6168"/>
    <w:rsid w:val="11DF61B9"/>
    <w:rsid w:val="11E07A03"/>
    <w:rsid w:val="11EA09B0"/>
    <w:rsid w:val="11EF4392"/>
    <w:rsid w:val="11F50B3F"/>
    <w:rsid w:val="11F80600"/>
    <w:rsid w:val="11FC146C"/>
    <w:rsid w:val="120F12FF"/>
    <w:rsid w:val="121207E0"/>
    <w:rsid w:val="121C03AE"/>
    <w:rsid w:val="122231BF"/>
    <w:rsid w:val="12230514"/>
    <w:rsid w:val="12295BA3"/>
    <w:rsid w:val="122E1370"/>
    <w:rsid w:val="12342635"/>
    <w:rsid w:val="12361352"/>
    <w:rsid w:val="123C0EC6"/>
    <w:rsid w:val="12417F04"/>
    <w:rsid w:val="12454CD4"/>
    <w:rsid w:val="124A5E46"/>
    <w:rsid w:val="125B5F6E"/>
    <w:rsid w:val="12681E07"/>
    <w:rsid w:val="12740820"/>
    <w:rsid w:val="12770A4A"/>
    <w:rsid w:val="127E0076"/>
    <w:rsid w:val="127F2BE6"/>
    <w:rsid w:val="12826FCA"/>
    <w:rsid w:val="12876694"/>
    <w:rsid w:val="128B3635"/>
    <w:rsid w:val="128C02C3"/>
    <w:rsid w:val="129A3A20"/>
    <w:rsid w:val="129A525D"/>
    <w:rsid w:val="129D6E9A"/>
    <w:rsid w:val="129E387A"/>
    <w:rsid w:val="12A52C00"/>
    <w:rsid w:val="12B61171"/>
    <w:rsid w:val="12BB5156"/>
    <w:rsid w:val="12C34D5D"/>
    <w:rsid w:val="12CA6B0C"/>
    <w:rsid w:val="12D571CD"/>
    <w:rsid w:val="12DB7397"/>
    <w:rsid w:val="12DC72A7"/>
    <w:rsid w:val="12DE681A"/>
    <w:rsid w:val="12E64F72"/>
    <w:rsid w:val="12EB6368"/>
    <w:rsid w:val="12EF1006"/>
    <w:rsid w:val="12F6236A"/>
    <w:rsid w:val="12F66269"/>
    <w:rsid w:val="12FA41F1"/>
    <w:rsid w:val="13026B1F"/>
    <w:rsid w:val="130631CC"/>
    <w:rsid w:val="13070AB5"/>
    <w:rsid w:val="13084029"/>
    <w:rsid w:val="130844A6"/>
    <w:rsid w:val="13137B3C"/>
    <w:rsid w:val="13161932"/>
    <w:rsid w:val="1317374C"/>
    <w:rsid w:val="13190DD0"/>
    <w:rsid w:val="131B3BA4"/>
    <w:rsid w:val="13217EAD"/>
    <w:rsid w:val="132D7FEE"/>
    <w:rsid w:val="1334460C"/>
    <w:rsid w:val="13353B37"/>
    <w:rsid w:val="134569D0"/>
    <w:rsid w:val="13465F8D"/>
    <w:rsid w:val="134D6CD8"/>
    <w:rsid w:val="135D040B"/>
    <w:rsid w:val="13703F18"/>
    <w:rsid w:val="13714ABA"/>
    <w:rsid w:val="13716E2B"/>
    <w:rsid w:val="13731C80"/>
    <w:rsid w:val="13774347"/>
    <w:rsid w:val="13777586"/>
    <w:rsid w:val="137D7562"/>
    <w:rsid w:val="13897791"/>
    <w:rsid w:val="138D57E8"/>
    <w:rsid w:val="13925A68"/>
    <w:rsid w:val="13930B44"/>
    <w:rsid w:val="13AB1CD2"/>
    <w:rsid w:val="13AD0761"/>
    <w:rsid w:val="13AF2E86"/>
    <w:rsid w:val="13B82029"/>
    <w:rsid w:val="13BB2B00"/>
    <w:rsid w:val="13C538D1"/>
    <w:rsid w:val="13D5011C"/>
    <w:rsid w:val="13D94D55"/>
    <w:rsid w:val="13DE42A2"/>
    <w:rsid w:val="13E13F10"/>
    <w:rsid w:val="13ED4A3A"/>
    <w:rsid w:val="13F6759F"/>
    <w:rsid w:val="13FC6E49"/>
    <w:rsid w:val="13FE334B"/>
    <w:rsid w:val="140033B7"/>
    <w:rsid w:val="140204D4"/>
    <w:rsid w:val="140E6E87"/>
    <w:rsid w:val="140F0E94"/>
    <w:rsid w:val="14101C6E"/>
    <w:rsid w:val="142708D2"/>
    <w:rsid w:val="14270EB5"/>
    <w:rsid w:val="14274640"/>
    <w:rsid w:val="142A0835"/>
    <w:rsid w:val="142A7069"/>
    <w:rsid w:val="14345A12"/>
    <w:rsid w:val="143E1B07"/>
    <w:rsid w:val="144563AC"/>
    <w:rsid w:val="144675DF"/>
    <w:rsid w:val="14467A3D"/>
    <w:rsid w:val="145B4CA1"/>
    <w:rsid w:val="145C4F50"/>
    <w:rsid w:val="145E3BC1"/>
    <w:rsid w:val="145E6A8B"/>
    <w:rsid w:val="14647263"/>
    <w:rsid w:val="14657AA7"/>
    <w:rsid w:val="1469505E"/>
    <w:rsid w:val="14750BFC"/>
    <w:rsid w:val="147656C8"/>
    <w:rsid w:val="147D70AD"/>
    <w:rsid w:val="1481056A"/>
    <w:rsid w:val="1482022D"/>
    <w:rsid w:val="14857229"/>
    <w:rsid w:val="148A2845"/>
    <w:rsid w:val="14950D64"/>
    <w:rsid w:val="149D7D2E"/>
    <w:rsid w:val="149F0625"/>
    <w:rsid w:val="14A061EB"/>
    <w:rsid w:val="14A10B72"/>
    <w:rsid w:val="14B10D93"/>
    <w:rsid w:val="14B52403"/>
    <w:rsid w:val="14BB0166"/>
    <w:rsid w:val="14C02F57"/>
    <w:rsid w:val="14C366E7"/>
    <w:rsid w:val="14C87D84"/>
    <w:rsid w:val="14D507B4"/>
    <w:rsid w:val="14D5562B"/>
    <w:rsid w:val="14DF103D"/>
    <w:rsid w:val="14F249B5"/>
    <w:rsid w:val="14F71755"/>
    <w:rsid w:val="14F93645"/>
    <w:rsid w:val="15203F06"/>
    <w:rsid w:val="152B7692"/>
    <w:rsid w:val="15323BA2"/>
    <w:rsid w:val="15345CC9"/>
    <w:rsid w:val="15347D38"/>
    <w:rsid w:val="154364CF"/>
    <w:rsid w:val="15496D3F"/>
    <w:rsid w:val="154C5FFA"/>
    <w:rsid w:val="15527ECB"/>
    <w:rsid w:val="155C6EFB"/>
    <w:rsid w:val="156003DE"/>
    <w:rsid w:val="1564402B"/>
    <w:rsid w:val="15692C96"/>
    <w:rsid w:val="156A050B"/>
    <w:rsid w:val="15712CF1"/>
    <w:rsid w:val="15725B0A"/>
    <w:rsid w:val="15777B9B"/>
    <w:rsid w:val="157D12CA"/>
    <w:rsid w:val="15852DD7"/>
    <w:rsid w:val="1588237B"/>
    <w:rsid w:val="158F38CE"/>
    <w:rsid w:val="158F5A7E"/>
    <w:rsid w:val="15924A37"/>
    <w:rsid w:val="15995230"/>
    <w:rsid w:val="159E217B"/>
    <w:rsid w:val="15A04E18"/>
    <w:rsid w:val="15A20756"/>
    <w:rsid w:val="15A61AD3"/>
    <w:rsid w:val="15AF10C4"/>
    <w:rsid w:val="15B4503A"/>
    <w:rsid w:val="15B53717"/>
    <w:rsid w:val="15BA0743"/>
    <w:rsid w:val="15BE5D60"/>
    <w:rsid w:val="15D64BDB"/>
    <w:rsid w:val="15DC0911"/>
    <w:rsid w:val="15EB15C4"/>
    <w:rsid w:val="15EB6C0C"/>
    <w:rsid w:val="15F71E4D"/>
    <w:rsid w:val="160441AA"/>
    <w:rsid w:val="160B157A"/>
    <w:rsid w:val="160E5B6E"/>
    <w:rsid w:val="16115928"/>
    <w:rsid w:val="16137150"/>
    <w:rsid w:val="161C7B86"/>
    <w:rsid w:val="161D1170"/>
    <w:rsid w:val="1623005F"/>
    <w:rsid w:val="16260D74"/>
    <w:rsid w:val="162A1DD7"/>
    <w:rsid w:val="162D7E64"/>
    <w:rsid w:val="162F4336"/>
    <w:rsid w:val="16332B0A"/>
    <w:rsid w:val="16362CDB"/>
    <w:rsid w:val="16383BD1"/>
    <w:rsid w:val="163E1475"/>
    <w:rsid w:val="163F76CD"/>
    <w:rsid w:val="16412F91"/>
    <w:rsid w:val="16413BB1"/>
    <w:rsid w:val="164D4A6E"/>
    <w:rsid w:val="164F71DB"/>
    <w:rsid w:val="16556364"/>
    <w:rsid w:val="165A3D1B"/>
    <w:rsid w:val="165E3D9B"/>
    <w:rsid w:val="165F374F"/>
    <w:rsid w:val="16632980"/>
    <w:rsid w:val="16651881"/>
    <w:rsid w:val="16653F5D"/>
    <w:rsid w:val="16691CD2"/>
    <w:rsid w:val="166A2283"/>
    <w:rsid w:val="166D59E0"/>
    <w:rsid w:val="16743630"/>
    <w:rsid w:val="1679582F"/>
    <w:rsid w:val="167B181E"/>
    <w:rsid w:val="167C6EEE"/>
    <w:rsid w:val="168427B5"/>
    <w:rsid w:val="168A4A09"/>
    <w:rsid w:val="16964238"/>
    <w:rsid w:val="169D78DD"/>
    <w:rsid w:val="16A55436"/>
    <w:rsid w:val="16B27D52"/>
    <w:rsid w:val="16BF4937"/>
    <w:rsid w:val="16BF7FA7"/>
    <w:rsid w:val="16C62729"/>
    <w:rsid w:val="16D177C1"/>
    <w:rsid w:val="16D46A02"/>
    <w:rsid w:val="16DC4B8E"/>
    <w:rsid w:val="16E34344"/>
    <w:rsid w:val="16EA7250"/>
    <w:rsid w:val="16F07197"/>
    <w:rsid w:val="16F4183E"/>
    <w:rsid w:val="16F830DA"/>
    <w:rsid w:val="170B0771"/>
    <w:rsid w:val="171064FD"/>
    <w:rsid w:val="17107B11"/>
    <w:rsid w:val="171370A0"/>
    <w:rsid w:val="17276E9F"/>
    <w:rsid w:val="1731047E"/>
    <w:rsid w:val="1734705C"/>
    <w:rsid w:val="174046E4"/>
    <w:rsid w:val="17467E31"/>
    <w:rsid w:val="174E2781"/>
    <w:rsid w:val="17510EA8"/>
    <w:rsid w:val="175A04DF"/>
    <w:rsid w:val="175B2AC6"/>
    <w:rsid w:val="176F6024"/>
    <w:rsid w:val="177A170F"/>
    <w:rsid w:val="177D1D5E"/>
    <w:rsid w:val="177E2884"/>
    <w:rsid w:val="17844DD7"/>
    <w:rsid w:val="17865872"/>
    <w:rsid w:val="178B41D5"/>
    <w:rsid w:val="178E7CA7"/>
    <w:rsid w:val="178F4021"/>
    <w:rsid w:val="17947670"/>
    <w:rsid w:val="17982B69"/>
    <w:rsid w:val="179D46DC"/>
    <w:rsid w:val="17AD5804"/>
    <w:rsid w:val="17B217B1"/>
    <w:rsid w:val="17B26F59"/>
    <w:rsid w:val="17B7711F"/>
    <w:rsid w:val="17B913BE"/>
    <w:rsid w:val="17C21940"/>
    <w:rsid w:val="17C50712"/>
    <w:rsid w:val="17C75302"/>
    <w:rsid w:val="17C90378"/>
    <w:rsid w:val="17CE3A6D"/>
    <w:rsid w:val="17D476FB"/>
    <w:rsid w:val="17D55315"/>
    <w:rsid w:val="17D90981"/>
    <w:rsid w:val="17DE0EF7"/>
    <w:rsid w:val="17E64653"/>
    <w:rsid w:val="17E94C33"/>
    <w:rsid w:val="17ED2AC7"/>
    <w:rsid w:val="17EF0F1C"/>
    <w:rsid w:val="17FB0009"/>
    <w:rsid w:val="17FE1DCC"/>
    <w:rsid w:val="18043AE6"/>
    <w:rsid w:val="18083564"/>
    <w:rsid w:val="18086633"/>
    <w:rsid w:val="180A6ADC"/>
    <w:rsid w:val="18173956"/>
    <w:rsid w:val="1819256C"/>
    <w:rsid w:val="182441D9"/>
    <w:rsid w:val="182E2616"/>
    <w:rsid w:val="183044D7"/>
    <w:rsid w:val="18382113"/>
    <w:rsid w:val="18410168"/>
    <w:rsid w:val="18424526"/>
    <w:rsid w:val="18443AFC"/>
    <w:rsid w:val="18452AFC"/>
    <w:rsid w:val="18461EDF"/>
    <w:rsid w:val="18504367"/>
    <w:rsid w:val="1851331D"/>
    <w:rsid w:val="18543D05"/>
    <w:rsid w:val="1855171C"/>
    <w:rsid w:val="18554240"/>
    <w:rsid w:val="18787C5C"/>
    <w:rsid w:val="1879677A"/>
    <w:rsid w:val="18825B89"/>
    <w:rsid w:val="18843C47"/>
    <w:rsid w:val="18884821"/>
    <w:rsid w:val="189B41B3"/>
    <w:rsid w:val="189E7D95"/>
    <w:rsid w:val="18A373EA"/>
    <w:rsid w:val="18A710A4"/>
    <w:rsid w:val="18A72D25"/>
    <w:rsid w:val="18A74B95"/>
    <w:rsid w:val="18B07CC9"/>
    <w:rsid w:val="18B57C28"/>
    <w:rsid w:val="18C8347E"/>
    <w:rsid w:val="18CB570D"/>
    <w:rsid w:val="18CC0010"/>
    <w:rsid w:val="18CD7E5A"/>
    <w:rsid w:val="18E85034"/>
    <w:rsid w:val="18E95560"/>
    <w:rsid w:val="18EC1186"/>
    <w:rsid w:val="18EE2C45"/>
    <w:rsid w:val="18EE40A6"/>
    <w:rsid w:val="18F03F1A"/>
    <w:rsid w:val="18F03F74"/>
    <w:rsid w:val="18F15AB1"/>
    <w:rsid w:val="18F5698F"/>
    <w:rsid w:val="19000E31"/>
    <w:rsid w:val="19045EF2"/>
    <w:rsid w:val="190B39E4"/>
    <w:rsid w:val="190B47F8"/>
    <w:rsid w:val="190B5FFA"/>
    <w:rsid w:val="19141DD6"/>
    <w:rsid w:val="192313A3"/>
    <w:rsid w:val="1923278E"/>
    <w:rsid w:val="192B5FA9"/>
    <w:rsid w:val="1933674B"/>
    <w:rsid w:val="193B2ECC"/>
    <w:rsid w:val="193F1A71"/>
    <w:rsid w:val="194445D4"/>
    <w:rsid w:val="19451CAB"/>
    <w:rsid w:val="196000E8"/>
    <w:rsid w:val="1960383F"/>
    <w:rsid w:val="19660D5F"/>
    <w:rsid w:val="196C5A8A"/>
    <w:rsid w:val="196E6A89"/>
    <w:rsid w:val="196F5672"/>
    <w:rsid w:val="19731142"/>
    <w:rsid w:val="197D7D85"/>
    <w:rsid w:val="19835AD9"/>
    <w:rsid w:val="19837292"/>
    <w:rsid w:val="1996357A"/>
    <w:rsid w:val="19967AB9"/>
    <w:rsid w:val="19974D97"/>
    <w:rsid w:val="19976B6E"/>
    <w:rsid w:val="199B04A2"/>
    <w:rsid w:val="19A9268D"/>
    <w:rsid w:val="19AB2BEA"/>
    <w:rsid w:val="19AE609D"/>
    <w:rsid w:val="19B3036F"/>
    <w:rsid w:val="19B30F17"/>
    <w:rsid w:val="19B53F23"/>
    <w:rsid w:val="19B90EA3"/>
    <w:rsid w:val="19BD2C13"/>
    <w:rsid w:val="19C61362"/>
    <w:rsid w:val="19C802CB"/>
    <w:rsid w:val="19D1069B"/>
    <w:rsid w:val="19D33B9F"/>
    <w:rsid w:val="19D97560"/>
    <w:rsid w:val="19DD135C"/>
    <w:rsid w:val="19E56C96"/>
    <w:rsid w:val="19E75D30"/>
    <w:rsid w:val="19EB56B3"/>
    <w:rsid w:val="19F336C4"/>
    <w:rsid w:val="19F96C37"/>
    <w:rsid w:val="19FC0771"/>
    <w:rsid w:val="1A047D82"/>
    <w:rsid w:val="1A0775A7"/>
    <w:rsid w:val="1A0F01D0"/>
    <w:rsid w:val="1A102BE0"/>
    <w:rsid w:val="1A1140FF"/>
    <w:rsid w:val="1A1228B3"/>
    <w:rsid w:val="1A184DDD"/>
    <w:rsid w:val="1A1A6264"/>
    <w:rsid w:val="1A1C248F"/>
    <w:rsid w:val="1A222227"/>
    <w:rsid w:val="1A285EFF"/>
    <w:rsid w:val="1A2B3AAC"/>
    <w:rsid w:val="1A2C312E"/>
    <w:rsid w:val="1A2E05E0"/>
    <w:rsid w:val="1A33254C"/>
    <w:rsid w:val="1A383932"/>
    <w:rsid w:val="1A384C6E"/>
    <w:rsid w:val="1A3942B8"/>
    <w:rsid w:val="1A53411F"/>
    <w:rsid w:val="1A5B2B91"/>
    <w:rsid w:val="1A5E3300"/>
    <w:rsid w:val="1A642FA7"/>
    <w:rsid w:val="1A6D3B64"/>
    <w:rsid w:val="1A734494"/>
    <w:rsid w:val="1A75692D"/>
    <w:rsid w:val="1A7913E8"/>
    <w:rsid w:val="1A793549"/>
    <w:rsid w:val="1A807F85"/>
    <w:rsid w:val="1A81694F"/>
    <w:rsid w:val="1A834FBA"/>
    <w:rsid w:val="1A84545B"/>
    <w:rsid w:val="1A8A3B73"/>
    <w:rsid w:val="1A8E2816"/>
    <w:rsid w:val="1A950234"/>
    <w:rsid w:val="1A9D2C69"/>
    <w:rsid w:val="1A9F068B"/>
    <w:rsid w:val="1AA47284"/>
    <w:rsid w:val="1AA65CFB"/>
    <w:rsid w:val="1AA762C6"/>
    <w:rsid w:val="1AA77C6B"/>
    <w:rsid w:val="1AAB6009"/>
    <w:rsid w:val="1AAD4B0F"/>
    <w:rsid w:val="1AB37682"/>
    <w:rsid w:val="1AB53561"/>
    <w:rsid w:val="1ABC2832"/>
    <w:rsid w:val="1AC419F9"/>
    <w:rsid w:val="1AC71319"/>
    <w:rsid w:val="1AC851EF"/>
    <w:rsid w:val="1AE512BC"/>
    <w:rsid w:val="1AE535C5"/>
    <w:rsid w:val="1AE9228C"/>
    <w:rsid w:val="1AEC347B"/>
    <w:rsid w:val="1AF141AF"/>
    <w:rsid w:val="1AF72982"/>
    <w:rsid w:val="1AF7734E"/>
    <w:rsid w:val="1AFB498F"/>
    <w:rsid w:val="1AFC26E8"/>
    <w:rsid w:val="1B0714BE"/>
    <w:rsid w:val="1B073726"/>
    <w:rsid w:val="1B073B1C"/>
    <w:rsid w:val="1B0877BB"/>
    <w:rsid w:val="1B0E3F2D"/>
    <w:rsid w:val="1B0F7AE9"/>
    <w:rsid w:val="1B1C256B"/>
    <w:rsid w:val="1B242B5A"/>
    <w:rsid w:val="1B3E1228"/>
    <w:rsid w:val="1B420930"/>
    <w:rsid w:val="1B464CDC"/>
    <w:rsid w:val="1B4A6DEB"/>
    <w:rsid w:val="1B4F3050"/>
    <w:rsid w:val="1B537FC3"/>
    <w:rsid w:val="1B543939"/>
    <w:rsid w:val="1B5546B1"/>
    <w:rsid w:val="1B5721E0"/>
    <w:rsid w:val="1B5C5AFB"/>
    <w:rsid w:val="1B673164"/>
    <w:rsid w:val="1B686EDF"/>
    <w:rsid w:val="1B6916DA"/>
    <w:rsid w:val="1B6C2ECD"/>
    <w:rsid w:val="1B6D6D03"/>
    <w:rsid w:val="1B724763"/>
    <w:rsid w:val="1B760629"/>
    <w:rsid w:val="1B893E45"/>
    <w:rsid w:val="1B907219"/>
    <w:rsid w:val="1B957446"/>
    <w:rsid w:val="1B9D103C"/>
    <w:rsid w:val="1B9F7239"/>
    <w:rsid w:val="1BA3395E"/>
    <w:rsid w:val="1BBA1485"/>
    <w:rsid w:val="1BBB4A7C"/>
    <w:rsid w:val="1BBF4340"/>
    <w:rsid w:val="1BC40770"/>
    <w:rsid w:val="1BCC47D0"/>
    <w:rsid w:val="1BD06F3D"/>
    <w:rsid w:val="1BD2636D"/>
    <w:rsid w:val="1BDC17F0"/>
    <w:rsid w:val="1BE1664A"/>
    <w:rsid w:val="1BE30499"/>
    <w:rsid w:val="1BE85116"/>
    <w:rsid w:val="1BEE1EDC"/>
    <w:rsid w:val="1BF55D6D"/>
    <w:rsid w:val="1BF64533"/>
    <w:rsid w:val="1BF9193D"/>
    <w:rsid w:val="1C08196D"/>
    <w:rsid w:val="1C110771"/>
    <w:rsid w:val="1C1F4396"/>
    <w:rsid w:val="1C2F52AF"/>
    <w:rsid w:val="1C340C73"/>
    <w:rsid w:val="1C3719D7"/>
    <w:rsid w:val="1C396A39"/>
    <w:rsid w:val="1C3F5D90"/>
    <w:rsid w:val="1C481B92"/>
    <w:rsid w:val="1C4A1383"/>
    <w:rsid w:val="1C653FE8"/>
    <w:rsid w:val="1C662423"/>
    <w:rsid w:val="1C694BE1"/>
    <w:rsid w:val="1C6A2D39"/>
    <w:rsid w:val="1C726801"/>
    <w:rsid w:val="1C772D2E"/>
    <w:rsid w:val="1C91524A"/>
    <w:rsid w:val="1C977146"/>
    <w:rsid w:val="1C9A16E4"/>
    <w:rsid w:val="1C9D79AA"/>
    <w:rsid w:val="1C9F722A"/>
    <w:rsid w:val="1CA71EE5"/>
    <w:rsid w:val="1CA9536F"/>
    <w:rsid w:val="1CAB4DFC"/>
    <w:rsid w:val="1CAF7EF2"/>
    <w:rsid w:val="1CB15D04"/>
    <w:rsid w:val="1CBA333B"/>
    <w:rsid w:val="1CBA5AA4"/>
    <w:rsid w:val="1CC11ADC"/>
    <w:rsid w:val="1CC25988"/>
    <w:rsid w:val="1CC54F51"/>
    <w:rsid w:val="1CDA7A5E"/>
    <w:rsid w:val="1CDE07DE"/>
    <w:rsid w:val="1CE03E3E"/>
    <w:rsid w:val="1CE6472B"/>
    <w:rsid w:val="1CE85F84"/>
    <w:rsid w:val="1CE95329"/>
    <w:rsid w:val="1CEE0B97"/>
    <w:rsid w:val="1CEE7DD7"/>
    <w:rsid w:val="1CF95CB6"/>
    <w:rsid w:val="1D054648"/>
    <w:rsid w:val="1D0C5084"/>
    <w:rsid w:val="1D0E388E"/>
    <w:rsid w:val="1D1644D2"/>
    <w:rsid w:val="1D1A1245"/>
    <w:rsid w:val="1D211C96"/>
    <w:rsid w:val="1D2242CF"/>
    <w:rsid w:val="1D2C1323"/>
    <w:rsid w:val="1D3221BF"/>
    <w:rsid w:val="1D323E71"/>
    <w:rsid w:val="1D364886"/>
    <w:rsid w:val="1D376C22"/>
    <w:rsid w:val="1D502524"/>
    <w:rsid w:val="1D5245FD"/>
    <w:rsid w:val="1D534D31"/>
    <w:rsid w:val="1D633CB9"/>
    <w:rsid w:val="1D7C42B4"/>
    <w:rsid w:val="1D82302D"/>
    <w:rsid w:val="1D880BEE"/>
    <w:rsid w:val="1D8A54AA"/>
    <w:rsid w:val="1D8E7CCA"/>
    <w:rsid w:val="1D8F143D"/>
    <w:rsid w:val="1D9759CC"/>
    <w:rsid w:val="1D9847F1"/>
    <w:rsid w:val="1D9A3B0C"/>
    <w:rsid w:val="1D9A44E2"/>
    <w:rsid w:val="1D9F7B14"/>
    <w:rsid w:val="1DA907E7"/>
    <w:rsid w:val="1DAB5AE2"/>
    <w:rsid w:val="1DAC1CE6"/>
    <w:rsid w:val="1DAD2D74"/>
    <w:rsid w:val="1DAF0837"/>
    <w:rsid w:val="1DB82FBA"/>
    <w:rsid w:val="1DB96571"/>
    <w:rsid w:val="1DBB1D66"/>
    <w:rsid w:val="1DBB6A4D"/>
    <w:rsid w:val="1DBC0CD2"/>
    <w:rsid w:val="1DC21749"/>
    <w:rsid w:val="1DC87C2E"/>
    <w:rsid w:val="1DC907B9"/>
    <w:rsid w:val="1DCE71DF"/>
    <w:rsid w:val="1DD27B2F"/>
    <w:rsid w:val="1DD346AB"/>
    <w:rsid w:val="1DD452C5"/>
    <w:rsid w:val="1DD47B9F"/>
    <w:rsid w:val="1DD922CD"/>
    <w:rsid w:val="1DD93046"/>
    <w:rsid w:val="1DDB10D3"/>
    <w:rsid w:val="1DDC27F8"/>
    <w:rsid w:val="1DDE411C"/>
    <w:rsid w:val="1DE558A6"/>
    <w:rsid w:val="1DEB779C"/>
    <w:rsid w:val="1DF1464F"/>
    <w:rsid w:val="1DF656F4"/>
    <w:rsid w:val="1E00595A"/>
    <w:rsid w:val="1E021919"/>
    <w:rsid w:val="1E0317E2"/>
    <w:rsid w:val="1E034E74"/>
    <w:rsid w:val="1E042C25"/>
    <w:rsid w:val="1E07477B"/>
    <w:rsid w:val="1E120D10"/>
    <w:rsid w:val="1E121006"/>
    <w:rsid w:val="1E2617AC"/>
    <w:rsid w:val="1E2A075E"/>
    <w:rsid w:val="1E3D1D39"/>
    <w:rsid w:val="1E3D2FCF"/>
    <w:rsid w:val="1E3D31AE"/>
    <w:rsid w:val="1E404DCF"/>
    <w:rsid w:val="1E427D5D"/>
    <w:rsid w:val="1E537172"/>
    <w:rsid w:val="1E5A042F"/>
    <w:rsid w:val="1E5D7EE7"/>
    <w:rsid w:val="1E60058C"/>
    <w:rsid w:val="1E60081C"/>
    <w:rsid w:val="1E635CC6"/>
    <w:rsid w:val="1E67097C"/>
    <w:rsid w:val="1E7B140A"/>
    <w:rsid w:val="1E8A2B89"/>
    <w:rsid w:val="1E9E4511"/>
    <w:rsid w:val="1EA26DE3"/>
    <w:rsid w:val="1EA50888"/>
    <w:rsid w:val="1EA54C06"/>
    <w:rsid w:val="1EAA70F6"/>
    <w:rsid w:val="1EAC2B49"/>
    <w:rsid w:val="1EB14247"/>
    <w:rsid w:val="1EB33020"/>
    <w:rsid w:val="1EB47D53"/>
    <w:rsid w:val="1EBC14B7"/>
    <w:rsid w:val="1EBE0A95"/>
    <w:rsid w:val="1EC063B8"/>
    <w:rsid w:val="1EC30389"/>
    <w:rsid w:val="1EC46A61"/>
    <w:rsid w:val="1ECE63AD"/>
    <w:rsid w:val="1EDB0C98"/>
    <w:rsid w:val="1EE75480"/>
    <w:rsid w:val="1EE757CA"/>
    <w:rsid w:val="1EE841FA"/>
    <w:rsid w:val="1EE96DC1"/>
    <w:rsid w:val="1EF060C8"/>
    <w:rsid w:val="1EF555C2"/>
    <w:rsid w:val="1EF64FCA"/>
    <w:rsid w:val="1EFD174C"/>
    <w:rsid w:val="1F007DEE"/>
    <w:rsid w:val="1F0B3524"/>
    <w:rsid w:val="1F194E1C"/>
    <w:rsid w:val="1F1C7577"/>
    <w:rsid w:val="1F1D217B"/>
    <w:rsid w:val="1F2140F4"/>
    <w:rsid w:val="1F27030E"/>
    <w:rsid w:val="1F300882"/>
    <w:rsid w:val="1F323F2E"/>
    <w:rsid w:val="1F33464A"/>
    <w:rsid w:val="1F372127"/>
    <w:rsid w:val="1F4527E2"/>
    <w:rsid w:val="1F4E3DBB"/>
    <w:rsid w:val="1F522E99"/>
    <w:rsid w:val="1F5E7B29"/>
    <w:rsid w:val="1F691E6B"/>
    <w:rsid w:val="1F692FF7"/>
    <w:rsid w:val="1F6976B0"/>
    <w:rsid w:val="1F704896"/>
    <w:rsid w:val="1F7A2D09"/>
    <w:rsid w:val="1F7B34A0"/>
    <w:rsid w:val="1F8311A0"/>
    <w:rsid w:val="1F8C2ABB"/>
    <w:rsid w:val="1F932CC9"/>
    <w:rsid w:val="1FAB2262"/>
    <w:rsid w:val="1FB07745"/>
    <w:rsid w:val="1FB85DFD"/>
    <w:rsid w:val="1FBA5EF5"/>
    <w:rsid w:val="1FBE73CE"/>
    <w:rsid w:val="1FC15DDB"/>
    <w:rsid w:val="1FC42FA5"/>
    <w:rsid w:val="1FD81C99"/>
    <w:rsid w:val="1FDA2070"/>
    <w:rsid w:val="1FDA28DA"/>
    <w:rsid w:val="1FDD771A"/>
    <w:rsid w:val="1FDF7AD5"/>
    <w:rsid w:val="1FFB7660"/>
    <w:rsid w:val="20006E37"/>
    <w:rsid w:val="200975D2"/>
    <w:rsid w:val="200A3E0C"/>
    <w:rsid w:val="20135D4F"/>
    <w:rsid w:val="20146634"/>
    <w:rsid w:val="20183041"/>
    <w:rsid w:val="2019441F"/>
    <w:rsid w:val="20232EBD"/>
    <w:rsid w:val="202420C5"/>
    <w:rsid w:val="20252B0C"/>
    <w:rsid w:val="20253193"/>
    <w:rsid w:val="202621E7"/>
    <w:rsid w:val="20287482"/>
    <w:rsid w:val="20312077"/>
    <w:rsid w:val="20325FCB"/>
    <w:rsid w:val="203348C7"/>
    <w:rsid w:val="20335639"/>
    <w:rsid w:val="204A4C52"/>
    <w:rsid w:val="20506F3B"/>
    <w:rsid w:val="20520F41"/>
    <w:rsid w:val="20553187"/>
    <w:rsid w:val="205D2406"/>
    <w:rsid w:val="205D64D9"/>
    <w:rsid w:val="205E462E"/>
    <w:rsid w:val="206E22E5"/>
    <w:rsid w:val="20733BA7"/>
    <w:rsid w:val="20822F71"/>
    <w:rsid w:val="208C2AC5"/>
    <w:rsid w:val="20930A64"/>
    <w:rsid w:val="2097024D"/>
    <w:rsid w:val="2099775B"/>
    <w:rsid w:val="209B5B1E"/>
    <w:rsid w:val="20A05210"/>
    <w:rsid w:val="20A61CA7"/>
    <w:rsid w:val="20A8165F"/>
    <w:rsid w:val="20AB1C66"/>
    <w:rsid w:val="20C84CD2"/>
    <w:rsid w:val="20CD2560"/>
    <w:rsid w:val="20CF5AD1"/>
    <w:rsid w:val="20DE4AD0"/>
    <w:rsid w:val="20E4396A"/>
    <w:rsid w:val="20E62181"/>
    <w:rsid w:val="20E921D1"/>
    <w:rsid w:val="20EA234B"/>
    <w:rsid w:val="20EC4D92"/>
    <w:rsid w:val="20F04432"/>
    <w:rsid w:val="20FE42D7"/>
    <w:rsid w:val="21040384"/>
    <w:rsid w:val="21094211"/>
    <w:rsid w:val="21115AA6"/>
    <w:rsid w:val="211B6C9F"/>
    <w:rsid w:val="211F46AC"/>
    <w:rsid w:val="212476C1"/>
    <w:rsid w:val="21283CAB"/>
    <w:rsid w:val="21314DA1"/>
    <w:rsid w:val="213D316B"/>
    <w:rsid w:val="214116AB"/>
    <w:rsid w:val="21440394"/>
    <w:rsid w:val="2145379A"/>
    <w:rsid w:val="214A2CCB"/>
    <w:rsid w:val="21572548"/>
    <w:rsid w:val="215B0429"/>
    <w:rsid w:val="215C1DD9"/>
    <w:rsid w:val="215D3921"/>
    <w:rsid w:val="21604FE5"/>
    <w:rsid w:val="216131F6"/>
    <w:rsid w:val="21620117"/>
    <w:rsid w:val="21685CE7"/>
    <w:rsid w:val="216E7FC6"/>
    <w:rsid w:val="21703A79"/>
    <w:rsid w:val="21720669"/>
    <w:rsid w:val="217555C8"/>
    <w:rsid w:val="217C2DB6"/>
    <w:rsid w:val="21855A30"/>
    <w:rsid w:val="218642C9"/>
    <w:rsid w:val="218B0FE9"/>
    <w:rsid w:val="218E1A15"/>
    <w:rsid w:val="218E4CFC"/>
    <w:rsid w:val="21912FD1"/>
    <w:rsid w:val="2194036A"/>
    <w:rsid w:val="21941FD3"/>
    <w:rsid w:val="21963158"/>
    <w:rsid w:val="219956F9"/>
    <w:rsid w:val="219D6E99"/>
    <w:rsid w:val="21AA4D71"/>
    <w:rsid w:val="21B12192"/>
    <w:rsid w:val="21B16558"/>
    <w:rsid w:val="21B37FAE"/>
    <w:rsid w:val="21B75CF3"/>
    <w:rsid w:val="21D42447"/>
    <w:rsid w:val="21D84067"/>
    <w:rsid w:val="21DA2D92"/>
    <w:rsid w:val="21DA572D"/>
    <w:rsid w:val="21DD39FB"/>
    <w:rsid w:val="21DD7A15"/>
    <w:rsid w:val="21E533A7"/>
    <w:rsid w:val="21F13235"/>
    <w:rsid w:val="22017325"/>
    <w:rsid w:val="22017384"/>
    <w:rsid w:val="22041BFC"/>
    <w:rsid w:val="220635FC"/>
    <w:rsid w:val="22094C63"/>
    <w:rsid w:val="220A3714"/>
    <w:rsid w:val="220B18C9"/>
    <w:rsid w:val="22157149"/>
    <w:rsid w:val="22240953"/>
    <w:rsid w:val="223114C4"/>
    <w:rsid w:val="223553E7"/>
    <w:rsid w:val="223F0AB9"/>
    <w:rsid w:val="22415577"/>
    <w:rsid w:val="225218BA"/>
    <w:rsid w:val="225E061B"/>
    <w:rsid w:val="22610EC9"/>
    <w:rsid w:val="226210C3"/>
    <w:rsid w:val="2268178E"/>
    <w:rsid w:val="226B5A8D"/>
    <w:rsid w:val="2274355A"/>
    <w:rsid w:val="227D7A53"/>
    <w:rsid w:val="227F0294"/>
    <w:rsid w:val="227F137A"/>
    <w:rsid w:val="227F1F27"/>
    <w:rsid w:val="22837AA1"/>
    <w:rsid w:val="22861473"/>
    <w:rsid w:val="228D34B8"/>
    <w:rsid w:val="22942FE2"/>
    <w:rsid w:val="229E625C"/>
    <w:rsid w:val="22A9593D"/>
    <w:rsid w:val="22A96D48"/>
    <w:rsid w:val="22B10530"/>
    <w:rsid w:val="22B106E9"/>
    <w:rsid w:val="22B27AA1"/>
    <w:rsid w:val="22B75B6E"/>
    <w:rsid w:val="22BA18BF"/>
    <w:rsid w:val="22BA3E94"/>
    <w:rsid w:val="22C60C42"/>
    <w:rsid w:val="22CC3650"/>
    <w:rsid w:val="22CD2A06"/>
    <w:rsid w:val="22CF5C4E"/>
    <w:rsid w:val="22E141E1"/>
    <w:rsid w:val="22E50084"/>
    <w:rsid w:val="22E5147A"/>
    <w:rsid w:val="22E93E0F"/>
    <w:rsid w:val="22EC3E30"/>
    <w:rsid w:val="22ED1416"/>
    <w:rsid w:val="22F30E16"/>
    <w:rsid w:val="22F8207F"/>
    <w:rsid w:val="230054FF"/>
    <w:rsid w:val="23054EBE"/>
    <w:rsid w:val="23090D15"/>
    <w:rsid w:val="230F2DB1"/>
    <w:rsid w:val="23173F14"/>
    <w:rsid w:val="231B3916"/>
    <w:rsid w:val="231C05A8"/>
    <w:rsid w:val="231E32A5"/>
    <w:rsid w:val="23204A3C"/>
    <w:rsid w:val="23215307"/>
    <w:rsid w:val="2324389F"/>
    <w:rsid w:val="233658F3"/>
    <w:rsid w:val="233763EB"/>
    <w:rsid w:val="2338173F"/>
    <w:rsid w:val="2349180A"/>
    <w:rsid w:val="234A1A17"/>
    <w:rsid w:val="23535D2E"/>
    <w:rsid w:val="2355799A"/>
    <w:rsid w:val="235A704A"/>
    <w:rsid w:val="23611072"/>
    <w:rsid w:val="23641601"/>
    <w:rsid w:val="236C7EE6"/>
    <w:rsid w:val="23705A22"/>
    <w:rsid w:val="23715C2D"/>
    <w:rsid w:val="237429BA"/>
    <w:rsid w:val="237F167A"/>
    <w:rsid w:val="238377FB"/>
    <w:rsid w:val="238979C0"/>
    <w:rsid w:val="238B0AA6"/>
    <w:rsid w:val="238B375C"/>
    <w:rsid w:val="238D4DB3"/>
    <w:rsid w:val="239006C8"/>
    <w:rsid w:val="239F71EA"/>
    <w:rsid w:val="23B27444"/>
    <w:rsid w:val="23B90188"/>
    <w:rsid w:val="23C504FA"/>
    <w:rsid w:val="23C741BB"/>
    <w:rsid w:val="23D14399"/>
    <w:rsid w:val="23D2236D"/>
    <w:rsid w:val="23DC3577"/>
    <w:rsid w:val="23E25BEA"/>
    <w:rsid w:val="23E25C04"/>
    <w:rsid w:val="23EF10C5"/>
    <w:rsid w:val="23F63BEA"/>
    <w:rsid w:val="23F72CE3"/>
    <w:rsid w:val="2405005E"/>
    <w:rsid w:val="240A562E"/>
    <w:rsid w:val="240D4808"/>
    <w:rsid w:val="240F4B6A"/>
    <w:rsid w:val="241462A1"/>
    <w:rsid w:val="241D57A1"/>
    <w:rsid w:val="24201D10"/>
    <w:rsid w:val="242620ED"/>
    <w:rsid w:val="242D1DB8"/>
    <w:rsid w:val="242D7020"/>
    <w:rsid w:val="242F2570"/>
    <w:rsid w:val="24377BC8"/>
    <w:rsid w:val="2447677B"/>
    <w:rsid w:val="24482570"/>
    <w:rsid w:val="244B26C0"/>
    <w:rsid w:val="244E3718"/>
    <w:rsid w:val="245C3B66"/>
    <w:rsid w:val="2471428F"/>
    <w:rsid w:val="24787C65"/>
    <w:rsid w:val="248A3184"/>
    <w:rsid w:val="248A555D"/>
    <w:rsid w:val="248C781D"/>
    <w:rsid w:val="248E644E"/>
    <w:rsid w:val="24967A79"/>
    <w:rsid w:val="24A026C9"/>
    <w:rsid w:val="24A47CB9"/>
    <w:rsid w:val="24A82435"/>
    <w:rsid w:val="24B23ACA"/>
    <w:rsid w:val="24B52AB6"/>
    <w:rsid w:val="24C47E07"/>
    <w:rsid w:val="24C71D05"/>
    <w:rsid w:val="24CD0D1E"/>
    <w:rsid w:val="24E000BE"/>
    <w:rsid w:val="24E26E47"/>
    <w:rsid w:val="24E31170"/>
    <w:rsid w:val="24E74812"/>
    <w:rsid w:val="24EA5627"/>
    <w:rsid w:val="24F0364F"/>
    <w:rsid w:val="24F31886"/>
    <w:rsid w:val="24F632D5"/>
    <w:rsid w:val="251A590A"/>
    <w:rsid w:val="251E031C"/>
    <w:rsid w:val="25253E65"/>
    <w:rsid w:val="25253F64"/>
    <w:rsid w:val="25275A70"/>
    <w:rsid w:val="252D3EEE"/>
    <w:rsid w:val="253C7361"/>
    <w:rsid w:val="253D19B7"/>
    <w:rsid w:val="2546175E"/>
    <w:rsid w:val="25526577"/>
    <w:rsid w:val="25534055"/>
    <w:rsid w:val="255523BC"/>
    <w:rsid w:val="255C0779"/>
    <w:rsid w:val="255C3C8C"/>
    <w:rsid w:val="255C7481"/>
    <w:rsid w:val="25640985"/>
    <w:rsid w:val="25692085"/>
    <w:rsid w:val="257D1A85"/>
    <w:rsid w:val="257D35A4"/>
    <w:rsid w:val="257D661C"/>
    <w:rsid w:val="258224F9"/>
    <w:rsid w:val="258D0B28"/>
    <w:rsid w:val="25930718"/>
    <w:rsid w:val="25945DAA"/>
    <w:rsid w:val="259D7FC6"/>
    <w:rsid w:val="259F379A"/>
    <w:rsid w:val="259F4702"/>
    <w:rsid w:val="25A15BEF"/>
    <w:rsid w:val="25A33856"/>
    <w:rsid w:val="25A37C93"/>
    <w:rsid w:val="25A63746"/>
    <w:rsid w:val="25AC3829"/>
    <w:rsid w:val="25B0598F"/>
    <w:rsid w:val="25BC6E4A"/>
    <w:rsid w:val="25BF2BB6"/>
    <w:rsid w:val="25C31325"/>
    <w:rsid w:val="25C33972"/>
    <w:rsid w:val="25C41CD7"/>
    <w:rsid w:val="25C62728"/>
    <w:rsid w:val="25CD14B1"/>
    <w:rsid w:val="25CE175E"/>
    <w:rsid w:val="25CE4249"/>
    <w:rsid w:val="25D2437F"/>
    <w:rsid w:val="25E52E11"/>
    <w:rsid w:val="25F16FE2"/>
    <w:rsid w:val="26051140"/>
    <w:rsid w:val="26054356"/>
    <w:rsid w:val="26073E9C"/>
    <w:rsid w:val="2608690B"/>
    <w:rsid w:val="260C5620"/>
    <w:rsid w:val="26193F5D"/>
    <w:rsid w:val="2623171C"/>
    <w:rsid w:val="262C0DC2"/>
    <w:rsid w:val="262D1B01"/>
    <w:rsid w:val="2630585C"/>
    <w:rsid w:val="26345AF8"/>
    <w:rsid w:val="264021DC"/>
    <w:rsid w:val="26453719"/>
    <w:rsid w:val="264B1E4B"/>
    <w:rsid w:val="264C7DA1"/>
    <w:rsid w:val="265F626B"/>
    <w:rsid w:val="265F6F2F"/>
    <w:rsid w:val="26657F99"/>
    <w:rsid w:val="266911C6"/>
    <w:rsid w:val="26740572"/>
    <w:rsid w:val="267438D6"/>
    <w:rsid w:val="26757DD0"/>
    <w:rsid w:val="267C7226"/>
    <w:rsid w:val="267F1BE8"/>
    <w:rsid w:val="267F61A0"/>
    <w:rsid w:val="268151EE"/>
    <w:rsid w:val="268250C1"/>
    <w:rsid w:val="26880F83"/>
    <w:rsid w:val="268B6FBA"/>
    <w:rsid w:val="26906610"/>
    <w:rsid w:val="26975419"/>
    <w:rsid w:val="26A803AB"/>
    <w:rsid w:val="26A97392"/>
    <w:rsid w:val="26B473FC"/>
    <w:rsid w:val="26C34CC7"/>
    <w:rsid w:val="26CB2421"/>
    <w:rsid w:val="26CB2F60"/>
    <w:rsid w:val="26D36456"/>
    <w:rsid w:val="26DA2586"/>
    <w:rsid w:val="26DE509B"/>
    <w:rsid w:val="26DF1F37"/>
    <w:rsid w:val="26E35258"/>
    <w:rsid w:val="26F31032"/>
    <w:rsid w:val="26F5528F"/>
    <w:rsid w:val="27022FC5"/>
    <w:rsid w:val="270B64BA"/>
    <w:rsid w:val="270E3941"/>
    <w:rsid w:val="270F6D5E"/>
    <w:rsid w:val="27101DC1"/>
    <w:rsid w:val="2719294A"/>
    <w:rsid w:val="271C22DE"/>
    <w:rsid w:val="271D2074"/>
    <w:rsid w:val="272243F4"/>
    <w:rsid w:val="272448DA"/>
    <w:rsid w:val="272D27A6"/>
    <w:rsid w:val="272E0DF2"/>
    <w:rsid w:val="27307A75"/>
    <w:rsid w:val="273E7D2E"/>
    <w:rsid w:val="27411B0C"/>
    <w:rsid w:val="27435AB8"/>
    <w:rsid w:val="27436099"/>
    <w:rsid w:val="274946E3"/>
    <w:rsid w:val="274F7FE7"/>
    <w:rsid w:val="27507954"/>
    <w:rsid w:val="27514E3D"/>
    <w:rsid w:val="27517531"/>
    <w:rsid w:val="2756605A"/>
    <w:rsid w:val="275F088B"/>
    <w:rsid w:val="276501FF"/>
    <w:rsid w:val="27653D29"/>
    <w:rsid w:val="27676905"/>
    <w:rsid w:val="27696391"/>
    <w:rsid w:val="276F64AB"/>
    <w:rsid w:val="277150B8"/>
    <w:rsid w:val="2777799E"/>
    <w:rsid w:val="2779320F"/>
    <w:rsid w:val="27797557"/>
    <w:rsid w:val="277C7E9E"/>
    <w:rsid w:val="277D1523"/>
    <w:rsid w:val="27814478"/>
    <w:rsid w:val="2783102A"/>
    <w:rsid w:val="2788545A"/>
    <w:rsid w:val="27945A4C"/>
    <w:rsid w:val="27993EA1"/>
    <w:rsid w:val="279F2453"/>
    <w:rsid w:val="27A06A88"/>
    <w:rsid w:val="27A2309C"/>
    <w:rsid w:val="27A316B5"/>
    <w:rsid w:val="27AA5C1D"/>
    <w:rsid w:val="27AB683A"/>
    <w:rsid w:val="27AC7C5B"/>
    <w:rsid w:val="27AF0D3D"/>
    <w:rsid w:val="27B20D7D"/>
    <w:rsid w:val="27B45D99"/>
    <w:rsid w:val="27BB0A57"/>
    <w:rsid w:val="27BD7E96"/>
    <w:rsid w:val="27C6025C"/>
    <w:rsid w:val="27C630B8"/>
    <w:rsid w:val="27CC4B4E"/>
    <w:rsid w:val="27CC60D6"/>
    <w:rsid w:val="27CC6659"/>
    <w:rsid w:val="27CD2215"/>
    <w:rsid w:val="27CE16F0"/>
    <w:rsid w:val="27DF531E"/>
    <w:rsid w:val="27E75D3C"/>
    <w:rsid w:val="27E85929"/>
    <w:rsid w:val="27E9267E"/>
    <w:rsid w:val="27EE2550"/>
    <w:rsid w:val="27EE5D9D"/>
    <w:rsid w:val="27F658A5"/>
    <w:rsid w:val="27FA44C9"/>
    <w:rsid w:val="27FC0AA9"/>
    <w:rsid w:val="27FF61E6"/>
    <w:rsid w:val="28047EF4"/>
    <w:rsid w:val="28073686"/>
    <w:rsid w:val="280D4D0A"/>
    <w:rsid w:val="28184262"/>
    <w:rsid w:val="282D5682"/>
    <w:rsid w:val="283F22E9"/>
    <w:rsid w:val="2840769D"/>
    <w:rsid w:val="284240C9"/>
    <w:rsid w:val="28450B21"/>
    <w:rsid w:val="284852FC"/>
    <w:rsid w:val="285554FB"/>
    <w:rsid w:val="28775962"/>
    <w:rsid w:val="289F32C4"/>
    <w:rsid w:val="28A60997"/>
    <w:rsid w:val="28A65558"/>
    <w:rsid w:val="28AD0B7A"/>
    <w:rsid w:val="28C43390"/>
    <w:rsid w:val="28C71839"/>
    <w:rsid w:val="28D411FE"/>
    <w:rsid w:val="28D47A79"/>
    <w:rsid w:val="28DD27BE"/>
    <w:rsid w:val="28E11650"/>
    <w:rsid w:val="28EF76E6"/>
    <w:rsid w:val="28F37816"/>
    <w:rsid w:val="28FF1936"/>
    <w:rsid w:val="29025395"/>
    <w:rsid w:val="29040283"/>
    <w:rsid w:val="29083330"/>
    <w:rsid w:val="29094F93"/>
    <w:rsid w:val="29096DD2"/>
    <w:rsid w:val="290B5A42"/>
    <w:rsid w:val="290D30A7"/>
    <w:rsid w:val="29107469"/>
    <w:rsid w:val="29135CCF"/>
    <w:rsid w:val="29182716"/>
    <w:rsid w:val="29240509"/>
    <w:rsid w:val="292D1A50"/>
    <w:rsid w:val="29310FAA"/>
    <w:rsid w:val="293B56C1"/>
    <w:rsid w:val="294601F3"/>
    <w:rsid w:val="2946054C"/>
    <w:rsid w:val="294A6AAC"/>
    <w:rsid w:val="294D3A31"/>
    <w:rsid w:val="29501286"/>
    <w:rsid w:val="29502EBA"/>
    <w:rsid w:val="295039AC"/>
    <w:rsid w:val="29534106"/>
    <w:rsid w:val="29554BEA"/>
    <w:rsid w:val="29596C06"/>
    <w:rsid w:val="295C6B35"/>
    <w:rsid w:val="29600954"/>
    <w:rsid w:val="296258F9"/>
    <w:rsid w:val="29654A2C"/>
    <w:rsid w:val="29742D5C"/>
    <w:rsid w:val="29753C4A"/>
    <w:rsid w:val="29781BA1"/>
    <w:rsid w:val="297E4C2D"/>
    <w:rsid w:val="29825097"/>
    <w:rsid w:val="29875663"/>
    <w:rsid w:val="29941C98"/>
    <w:rsid w:val="299A3F7A"/>
    <w:rsid w:val="299B209B"/>
    <w:rsid w:val="299F7BF3"/>
    <w:rsid w:val="29AD3066"/>
    <w:rsid w:val="29B03ADA"/>
    <w:rsid w:val="29BC20AE"/>
    <w:rsid w:val="29BD0539"/>
    <w:rsid w:val="29BD1377"/>
    <w:rsid w:val="29C50346"/>
    <w:rsid w:val="29C8684A"/>
    <w:rsid w:val="29D0266F"/>
    <w:rsid w:val="29D07EAF"/>
    <w:rsid w:val="29D65375"/>
    <w:rsid w:val="29DD5685"/>
    <w:rsid w:val="29DE7AA6"/>
    <w:rsid w:val="29DF2D7F"/>
    <w:rsid w:val="29E63EC1"/>
    <w:rsid w:val="29E816AE"/>
    <w:rsid w:val="29EE46F0"/>
    <w:rsid w:val="29F370A6"/>
    <w:rsid w:val="29F837E4"/>
    <w:rsid w:val="2A06517C"/>
    <w:rsid w:val="2A1116D3"/>
    <w:rsid w:val="2A1460DF"/>
    <w:rsid w:val="2A1C0FF6"/>
    <w:rsid w:val="2A1E253E"/>
    <w:rsid w:val="2A2124CD"/>
    <w:rsid w:val="2A2405A0"/>
    <w:rsid w:val="2A254BA1"/>
    <w:rsid w:val="2A26040D"/>
    <w:rsid w:val="2A270B0A"/>
    <w:rsid w:val="2A326A17"/>
    <w:rsid w:val="2A382303"/>
    <w:rsid w:val="2A425AD7"/>
    <w:rsid w:val="2A4B64C5"/>
    <w:rsid w:val="2A537617"/>
    <w:rsid w:val="2A5536F3"/>
    <w:rsid w:val="2A5675E5"/>
    <w:rsid w:val="2A583D60"/>
    <w:rsid w:val="2A6232E5"/>
    <w:rsid w:val="2A6626A1"/>
    <w:rsid w:val="2A711216"/>
    <w:rsid w:val="2A7B1F29"/>
    <w:rsid w:val="2A7E0F55"/>
    <w:rsid w:val="2A800DE8"/>
    <w:rsid w:val="2A8E1C5B"/>
    <w:rsid w:val="2A8F44D2"/>
    <w:rsid w:val="2AA7577D"/>
    <w:rsid w:val="2AA83043"/>
    <w:rsid w:val="2AAB5179"/>
    <w:rsid w:val="2AAF3B8E"/>
    <w:rsid w:val="2AB17B72"/>
    <w:rsid w:val="2AB2510A"/>
    <w:rsid w:val="2ABC1E3A"/>
    <w:rsid w:val="2ABD6A6D"/>
    <w:rsid w:val="2AC00E7C"/>
    <w:rsid w:val="2AC335F7"/>
    <w:rsid w:val="2AC35A6F"/>
    <w:rsid w:val="2AC611B2"/>
    <w:rsid w:val="2AC66113"/>
    <w:rsid w:val="2AD07767"/>
    <w:rsid w:val="2AD474F4"/>
    <w:rsid w:val="2AD97C45"/>
    <w:rsid w:val="2ADC7159"/>
    <w:rsid w:val="2AE07911"/>
    <w:rsid w:val="2AE46CE9"/>
    <w:rsid w:val="2AE76010"/>
    <w:rsid w:val="2AEF0B60"/>
    <w:rsid w:val="2AEF3A7D"/>
    <w:rsid w:val="2AF341A1"/>
    <w:rsid w:val="2AF8083F"/>
    <w:rsid w:val="2AF93B24"/>
    <w:rsid w:val="2AFF11B9"/>
    <w:rsid w:val="2B07177B"/>
    <w:rsid w:val="2B0B4C6C"/>
    <w:rsid w:val="2B0E23FC"/>
    <w:rsid w:val="2B10467B"/>
    <w:rsid w:val="2B15532D"/>
    <w:rsid w:val="2B1C53B3"/>
    <w:rsid w:val="2B22452F"/>
    <w:rsid w:val="2B245880"/>
    <w:rsid w:val="2B2A07B8"/>
    <w:rsid w:val="2B2B4212"/>
    <w:rsid w:val="2B2C4313"/>
    <w:rsid w:val="2B2E511A"/>
    <w:rsid w:val="2B2F18E4"/>
    <w:rsid w:val="2B370DBF"/>
    <w:rsid w:val="2B38245B"/>
    <w:rsid w:val="2B491EE0"/>
    <w:rsid w:val="2B492388"/>
    <w:rsid w:val="2B4E4882"/>
    <w:rsid w:val="2B551258"/>
    <w:rsid w:val="2B563090"/>
    <w:rsid w:val="2B576A31"/>
    <w:rsid w:val="2B5851CF"/>
    <w:rsid w:val="2B5972B8"/>
    <w:rsid w:val="2B5C7F21"/>
    <w:rsid w:val="2B5F116E"/>
    <w:rsid w:val="2B604C62"/>
    <w:rsid w:val="2B6372A3"/>
    <w:rsid w:val="2B6A672A"/>
    <w:rsid w:val="2B6D28AF"/>
    <w:rsid w:val="2B820767"/>
    <w:rsid w:val="2B876569"/>
    <w:rsid w:val="2B961D70"/>
    <w:rsid w:val="2BA22CA5"/>
    <w:rsid w:val="2BAA367C"/>
    <w:rsid w:val="2BB87BFA"/>
    <w:rsid w:val="2BC25297"/>
    <w:rsid w:val="2BC4574A"/>
    <w:rsid w:val="2BC64AC0"/>
    <w:rsid w:val="2BCA60A4"/>
    <w:rsid w:val="2BCC7B11"/>
    <w:rsid w:val="2BD64B5E"/>
    <w:rsid w:val="2BD65609"/>
    <w:rsid w:val="2BDA2A86"/>
    <w:rsid w:val="2BDA7E38"/>
    <w:rsid w:val="2BDB3DA2"/>
    <w:rsid w:val="2BDD1CEF"/>
    <w:rsid w:val="2BDE471E"/>
    <w:rsid w:val="2BE22B33"/>
    <w:rsid w:val="2BE8005F"/>
    <w:rsid w:val="2BF13CCD"/>
    <w:rsid w:val="2BF33887"/>
    <w:rsid w:val="2C0538FD"/>
    <w:rsid w:val="2C0E65AB"/>
    <w:rsid w:val="2C1514D7"/>
    <w:rsid w:val="2C1C33A8"/>
    <w:rsid w:val="2C226723"/>
    <w:rsid w:val="2C231E25"/>
    <w:rsid w:val="2C27406D"/>
    <w:rsid w:val="2C275FBC"/>
    <w:rsid w:val="2C2773C2"/>
    <w:rsid w:val="2C2829E2"/>
    <w:rsid w:val="2C2A0D0C"/>
    <w:rsid w:val="2C305150"/>
    <w:rsid w:val="2C3D0DE9"/>
    <w:rsid w:val="2C3D2D87"/>
    <w:rsid w:val="2C407B02"/>
    <w:rsid w:val="2C443663"/>
    <w:rsid w:val="2C456C9F"/>
    <w:rsid w:val="2C457551"/>
    <w:rsid w:val="2C4D406C"/>
    <w:rsid w:val="2C4E3D20"/>
    <w:rsid w:val="2C515DFE"/>
    <w:rsid w:val="2C553428"/>
    <w:rsid w:val="2C5555B0"/>
    <w:rsid w:val="2C61001E"/>
    <w:rsid w:val="2C6757E2"/>
    <w:rsid w:val="2C6C5D21"/>
    <w:rsid w:val="2C732653"/>
    <w:rsid w:val="2C742D4A"/>
    <w:rsid w:val="2C75275F"/>
    <w:rsid w:val="2C8276C6"/>
    <w:rsid w:val="2C8A0842"/>
    <w:rsid w:val="2C945B80"/>
    <w:rsid w:val="2C96115E"/>
    <w:rsid w:val="2CA35898"/>
    <w:rsid w:val="2CA51E9F"/>
    <w:rsid w:val="2CA708B3"/>
    <w:rsid w:val="2CB11096"/>
    <w:rsid w:val="2CB64DA1"/>
    <w:rsid w:val="2CBD0E03"/>
    <w:rsid w:val="2CC73BE9"/>
    <w:rsid w:val="2CD1652C"/>
    <w:rsid w:val="2CD815A2"/>
    <w:rsid w:val="2CDF3FBE"/>
    <w:rsid w:val="2CEA1908"/>
    <w:rsid w:val="2CEC0032"/>
    <w:rsid w:val="2CF5288A"/>
    <w:rsid w:val="2CFE69D2"/>
    <w:rsid w:val="2CFF241A"/>
    <w:rsid w:val="2D061599"/>
    <w:rsid w:val="2D0E37C3"/>
    <w:rsid w:val="2D183C58"/>
    <w:rsid w:val="2D193221"/>
    <w:rsid w:val="2D1E6177"/>
    <w:rsid w:val="2D294F8F"/>
    <w:rsid w:val="2D2A596F"/>
    <w:rsid w:val="2D2B597B"/>
    <w:rsid w:val="2D3440FD"/>
    <w:rsid w:val="2D3B7E0E"/>
    <w:rsid w:val="2D3E16A3"/>
    <w:rsid w:val="2D461B74"/>
    <w:rsid w:val="2D4D2F2C"/>
    <w:rsid w:val="2D511821"/>
    <w:rsid w:val="2D5223EB"/>
    <w:rsid w:val="2D564E30"/>
    <w:rsid w:val="2D5C0D1B"/>
    <w:rsid w:val="2D5E3850"/>
    <w:rsid w:val="2D6076EF"/>
    <w:rsid w:val="2D6C6748"/>
    <w:rsid w:val="2D6E4BF1"/>
    <w:rsid w:val="2D754D9A"/>
    <w:rsid w:val="2D7C2F53"/>
    <w:rsid w:val="2D8072B1"/>
    <w:rsid w:val="2D925359"/>
    <w:rsid w:val="2D937D02"/>
    <w:rsid w:val="2D944BD6"/>
    <w:rsid w:val="2D963786"/>
    <w:rsid w:val="2D977B4B"/>
    <w:rsid w:val="2D9C022C"/>
    <w:rsid w:val="2D9D1E1E"/>
    <w:rsid w:val="2D9F626F"/>
    <w:rsid w:val="2DA61C47"/>
    <w:rsid w:val="2DA8500B"/>
    <w:rsid w:val="2DB92019"/>
    <w:rsid w:val="2DBE6E75"/>
    <w:rsid w:val="2DD0233F"/>
    <w:rsid w:val="2DD12122"/>
    <w:rsid w:val="2DD82B4F"/>
    <w:rsid w:val="2DDA3414"/>
    <w:rsid w:val="2DE039A6"/>
    <w:rsid w:val="2DE214E1"/>
    <w:rsid w:val="2DE70D8A"/>
    <w:rsid w:val="2DE90501"/>
    <w:rsid w:val="2DED01AC"/>
    <w:rsid w:val="2DF219D7"/>
    <w:rsid w:val="2DFA7320"/>
    <w:rsid w:val="2DFC2EDD"/>
    <w:rsid w:val="2E002903"/>
    <w:rsid w:val="2E066635"/>
    <w:rsid w:val="2E0C0A58"/>
    <w:rsid w:val="2E126772"/>
    <w:rsid w:val="2E143F9F"/>
    <w:rsid w:val="2E181CD2"/>
    <w:rsid w:val="2E1E3027"/>
    <w:rsid w:val="2E270AF7"/>
    <w:rsid w:val="2E294874"/>
    <w:rsid w:val="2E3124DC"/>
    <w:rsid w:val="2E3244A7"/>
    <w:rsid w:val="2E4623D3"/>
    <w:rsid w:val="2E4B0F8B"/>
    <w:rsid w:val="2E54103A"/>
    <w:rsid w:val="2E545140"/>
    <w:rsid w:val="2E5D55A9"/>
    <w:rsid w:val="2E690965"/>
    <w:rsid w:val="2E6C4221"/>
    <w:rsid w:val="2E6E7857"/>
    <w:rsid w:val="2E754941"/>
    <w:rsid w:val="2E755F20"/>
    <w:rsid w:val="2E7D28C8"/>
    <w:rsid w:val="2E7F3A97"/>
    <w:rsid w:val="2E8C1226"/>
    <w:rsid w:val="2E9912E2"/>
    <w:rsid w:val="2E9F2A05"/>
    <w:rsid w:val="2EB25DA0"/>
    <w:rsid w:val="2EB26859"/>
    <w:rsid w:val="2EC27BA3"/>
    <w:rsid w:val="2EC30F3D"/>
    <w:rsid w:val="2EC85297"/>
    <w:rsid w:val="2EC91C60"/>
    <w:rsid w:val="2EC9243D"/>
    <w:rsid w:val="2ECF3677"/>
    <w:rsid w:val="2ED070C1"/>
    <w:rsid w:val="2ED10A04"/>
    <w:rsid w:val="2ED5475A"/>
    <w:rsid w:val="2ED706C6"/>
    <w:rsid w:val="2ED873BC"/>
    <w:rsid w:val="2EDD0058"/>
    <w:rsid w:val="2EDD353A"/>
    <w:rsid w:val="2EEB6C73"/>
    <w:rsid w:val="2EF34F17"/>
    <w:rsid w:val="2F041003"/>
    <w:rsid w:val="2F0D4D6E"/>
    <w:rsid w:val="2F133281"/>
    <w:rsid w:val="2F13368C"/>
    <w:rsid w:val="2F1C3861"/>
    <w:rsid w:val="2F260912"/>
    <w:rsid w:val="2F311FE5"/>
    <w:rsid w:val="2F3722D5"/>
    <w:rsid w:val="2F3C0D92"/>
    <w:rsid w:val="2F4067A7"/>
    <w:rsid w:val="2F4160FB"/>
    <w:rsid w:val="2F476A96"/>
    <w:rsid w:val="2F492C32"/>
    <w:rsid w:val="2F4E2A18"/>
    <w:rsid w:val="2F566814"/>
    <w:rsid w:val="2F5C1741"/>
    <w:rsid w:val="2F5F3A5D"/>
    <w:rsid w:val="2F634991"/>
    <w:rsid w:val="2F83284A"/>
    <w:rsid w:val="2F840DAD"/>
    <w:rsid w:val="2F976FD6"/>
    <w:rsid w:val="2F992ECA"/>
    <w:rsid w:val="2FA71303"/>
    <w:rsid w:val="2FA80FFF"/>
    <w:rsid w:val="2FAB64C8"/>
    <w:rsid w:val="2FAC2EBE"/>
    <w:rsid w:val="2FAE4D3A"/>
    <w:rsid w:val="2FB269C4"/>
    <w:rsid w:val="2FB478A5"/>
    <w:rsid w:val="2FB8287E"/>
    <w:rsid w:val="2FB854AD"/>
    <w:rsid w:val="2FC5466F"/>
    <w:rsid w:val="2FC6740A"/>
    <w:rsid w:val="2FC745C0"/>
    <w:rsid w:val="2FC94013"/>
    <w:rsid w:val="2FCF1F2F"/>
    <w:rsid w:val="2FCF6875"/>
    <w:rsid w:val="2FD23059"/>
    <w:rsid w:val="2FD81B09"/>
    <w:rsid w:val="2FDB34F0"/>
    <w:rsid w:val="2FE364E6"/>
    <w:rsid w:val="2FE365A4"/>
    <w:rsid w:val="2FE5760F"/>
    <w:rsid w:val="2FEC79C3"/>
    <w:rsid w:val="2FF5425F"/>
    <w:rsid w:val="2FF72330"/>
    <w:rsid w:val="30057C07"/>
    <w:rsid w:val="30112512"/>
    <w:rsid w:val="301B1FC6"/>
    <w:rsid w:val="302A1EA4"/>
    <w:rsid w:val="30380180"/>
    <w:rsid w:val="30385E39"/>
    <w:rsid w:val="3039764D"/>
    <w:rsid w:val="303D07E1"/>
    <w:rsid w:val="30407403"/>
    <w:rsid w:val="305548B7"/>
    <w:rsid w:val="305659A3"/>
    <w:rsid w:val="305E398F"/>
    <w:rsid w:val="3063289A"/>
    <w:rsid w:val="30700329"/>
    <w:rsid w:val="30753CE2"/>
    <w:rsid w:val="307770D9"/>
    <w:rsid w:val="307A03D5"/>
    <w:rsid w:val="307D49BF"/>
    <w:rsid w:val="30826817"/>
    <w:rsid w:val="308E11FF"/>
    <w:rsid w:val="30931FC2"/>
    <w:rsid w:val="309C5E1C"/>
    <w:rsid w:val="30A13949"/>
    <w:rsid w:val="30A172AE"/>
    <w:rsid w:val="30A2041B"/>
    <w:rsid w:val="30B41FFE"/>
    <w:rsid w:val="30BF4AAA"/>
    <w:rsid w:val="30C42BD6"/>
    <w:rsid w:val="30C56C52"/>
    <w:rsid w:val="30C80EB6"/>
    <w:rsid w:val="30D26240"/>
    <w:rsid w:val="30D85F33"/>
    <w:rsid w:val="30DC4450"/>
    <w:rsid w:val="30E5374A"/>
    <w:rsid w:val="30E54394"/>
    <w:rsid w:val="30E83DEE"/>
    <w:rsid w:val="30EA1276"/>
    <w:rsid w:val="30ED07BC"/>
    <w:rsid w:val="30F74FB5"/>
    <w:rsid w:val="30F9156D"/>
    <w:rsid w:val="31061404"/>
    <w:rsid w:val="3108293F"/>
    <w:rsid w:val="310F1FEC"/>
    <w:rsid w:val="31125FBC"/>
    <w:rsid w:val="312335F2"/>
    <w:rsid w:val="312D618B"/>
    <w:rsid w:val="31331398"/>
    <w:rsid w:val="31371CBA"/>
    <w:rsid w:val="313C61FC"/>
    <w:rsid w:val="313E6343"/>
    <w:rsid w:val="313E67E5"/>
    <w:rsid w:val="313E6DC3"/>
    <w:rsid w:val="31497193"/>
    <w:rsid w:val="314A4CE8"/>
    <w:rsid w:val="314B3ECA"/>
    <w:rsid w:val="3152248F"/>
    <w:rsid w:val="315370F1"/>
    <w:rsid w:val="315A27E9"/>
    <w:rsid w:val="315E53C5"/>
    <w:rsid w:val="31617BC3"/>
    <w:rsid w:val="316311CC"/>
    <w:rsid w:val="316464FB"/>
    <w:rsid w:val="31650FFE"/>
    <w:rsid w:val="31660B66"/>
    <w:rsid w:val="31697BD4"/>
    <w:rsid w:val="317057B8"/>
    <w:rsid w:val="3174121A"/>
    <w:rsid w:val="317522FA"/>
    <w:rsid w:val="317B1FBA"/>
    <w:rsid w:val="31804DAB"/>
    <w:rsid w:val="3183633E"/>
    <w:rsid w:val="31861ABC"/>
    <w:rsid w:val="318A2F71"/>
    <w:rsid w:val="318A43E7"/>
    <w:rsid w:val="31915379"/>
    <w:rsid w:val="31A15666"/>
    <w:rsid w:val="31A9406C"/>
    <w:rsid w:val="31AB1D0D"/>
    <w:rsid w:val="31AC172B"/>
    <w:rsid w:val="31AF7784"/>
    <w:rsid w:val="31B76EAD"/>
    <w:rsid w:val="31BE2010"/>
    <w:rsid w:val="31C1652B"/>
    <w:rsid w:val="31C252D9"/>
    <w:rsid w:val="31CD32B8"/>
    <w:rsid w:val="31CF24F1"/>
    <w:rsid w:val="31D62973"/>
    <w:rsid w:val="31D71541"/>
    <w:rsid w:val="31DA376F"/>
    <w:rsid w:val="31DC2C72"/>
    <w:rsid w:val="31DD6E97"/>
    <w:rsid w:val="31DF0E13"/>
    <w:rsid w:val="31E409B7"/>
    <w:rsid w:val="31EB5760"/>
    <w:rsid w:val="31F274C3"/>
    <w:rsid w:val="31FA25AF"/>
    <w:rsid w:val="31FC0A0E"/>
    <w:rsid w:val="320534C9"/>
    <w:rsid w:val="321F077A"/>
    <w:rsid w:val="322E62BD"/>
    <w:rsid w:val="3232436C"/>
    <w:rsid w:val="323B0F15"/>
    <w:rsid w:val="32452CAD"/>
    <w:rsid w:val="32495D1D"/>
    <w:rsid w:val="324E25A2"/>
    <w:rsid w:val="324F09E9"/>
    <w:rsid w:val="3254169B"/>
    <w:rsid w:val="3257403B"/>
    <w:rsid w:val="32686126"/>
    <w:rsid w:val="326B669F"/>
    <w:rsid w:val="3275787D"/>
    <w:rsid w:val="32774BCD"/>
    <w:rsid w:val="32791CDC"/>
    <w:rsid w:val="32793A4D"/>
    <w:rsid w:val="327B1385"/>
    <w:rsid w:val="32970EB5"/>
    <w:rsid w:val="329904BA"/>
    <w:rsid w:val="329A499E"/>
    <w:rsid w:val="329F68CC"/>
    <w:rsid w:val="32AB1C0C"/>
    <w:rsid w:val="32AB3FC9"/>
    <w:rsid w:val="32B973A2"/>
    <w:rsid w:val="32BF01AD"/>
    <w:rsid w:val="32CB0BEF"/>
    <w:rsid w:val="32CF1BEE"/>
    <w:rsid w:val="32D44061"/>
    <w:rsid w:val="32D95674"/>
    <w:rsid w:val="32DC71AC"/>
    <w:rsid w:val="32E27FE6"/>
    <w:rsid w:val="32E66A70"/>
    <w:rsid w:val="32E71920"/>
    <w:rsid w:val="32E949B8"/>
    <w:rsid w:val="32EA2C79"/>
    <w:rsid w:val="32EF216D"/>
    <w:rsid w:val="32F04BB2"/>
    <w:rsid w:val="3301001F"/>
    <w:rsid w:val="33013D31"/>
    <w:rsid w:val="33190EFF"/>
    <w:rsid w:val="331B27A4"/>
    <w:rsid w:val="3323735A"/>
    <w:rsid w:val="332722EB"/>
    <w:rsid w:val="332754EE"/>
    <w:rsid w:val="332821A8"/>
    <w:rsid w:val="33283B95"/>
    <w:rsid w:val="332A1FF6"/>
    <w:rsid w:val="333277E5"/>
    <w:rsid w:val="333B466D"/>
    <w:rsid w:val="33475AC4"/>
    <w:rsid w:val="334A7287"/>
    <w:rsid w:val="335449B3"/>
    <w:rsid w:val="33594385"/>
    <w:rsid w:val="3365633D"/>
    <w:rsid w:val="33675FE5"/>
    <w:rsid w:val="336D561C"/>
    <w:rsid w:val="33717DB2"/>
    <w:rsid w:val="33791943"/>
    <w:rsid w:val="337A4A6A"/>
    <w:rsid w:val="337E0C54"/>
    <w:rsid w:val="337E0DBF"/>
    <w:rsid w:val="337F12B3"/>
    <w:rsid w:val="3384786F"/>
    <w:rsid w:val="33872C23"/>
    <w:rsid w:val="33875024"/>
    <w:rsid w:val="338A559D"/>
    <w:rsid w:val="338B1579"/>
    <w:rsid w:val="3393654D"/>
    <w:rsid w:val="33995962"/>
    <w:rsid w:val="339B097F"/>
    <w:rsid w:val="339B3D52"/>
    <w:rsid w:val="339D78F3"/>
    <w:rsid w:val="33A07882"/>
    <w:rsid w:val="33A20150"/>
    <w:rsid w:val="33AA2D95"/>
    <w:rsid w:val="33AE2D8A"/>
    <w:rsid w:val="33B04400"/>
    <w:rsid w:val="33B350DC"/>
    <w:rsid w:val="33B423C6"/>
    <w:rsid w:val="33B803C1"/>
    <w:rsid w:val="33BA1D22"/>
    <w:rsid w:val="33BA4EE8"/>
    <w:rsid w:val="33CC076B"/>
    <w:rsid w:val="33D25869"/>
    <w:rsid w:val="33D6052A"/>
    <w:rsid w:val="33D63F3E"/>
    <w:rsid w:val="33DF154F"/>
    <w:rsid w:val="33E85B91"/>
    <w:rsid w:val="33F07229"/>
    <w:rsid w:val="3401171A"/>
    <w:rsid w:val="34015391"/>
    <w:rsid w:val="34041D90"/>
    <w:rsid w:val="3407348B"/>
    <w:rsid w:val="3414501A"/>
    <w:rsid w:val="341865CC"/>
    <w:rsid w:val="34200008"/>
    <w:rsid w:val="34204516"/>
    <w:rsid w:val="342658FF"/>
    <w:rsid w:val="342E39F2"/>
    <w:rsid w:val="344D548F"/>
    <w:rsid w:val="344F6672"/>
    <w:rsid w:val="345778F5"/>
    <w:rsid w:val="34587577"/>
    <w:rsid w:val="346F1F01"/>
    <w:rsid w:val="347B44F1"/>
    <w:rsid w:val="347C02CA"/>
    <w:rsid w:val="34867B77"/>
    <w:rsid w:val="348E24A8"/>
    <w:rsid w:val="34927A4B"/>
    <w:rsid w:val="34A01B6E"/>
    <w:rsid w:val="34B57D6E"/>
    <w:rsid w:val="34BB17AB"/>
    <w:rsid w:val="34BF6036"/>
    <w:rsid w:val="34CE1B77"/>
    <w:rsid w:val="34D01B3F"/>
    <w:rsid w:val="34DF39AA"/>
    <w:rsid w:val="34E0789C"/>
    <w:rsid w:val="34E26F6E"/>
    <w:rsid w:val="34EF1FA2"/>
    <w:rsid w:val="34F471DE"/>
    <w:rsid w:val="34FB431A"/>
    <w:rsid w:val="34FD3074"/>
    <w:rsid w:val="34FE526B"/>
    <w:rsid w:val="35002050"/>
    <w:rsid w:val="350408BD"/>
    <w:rsid w:val="350A5F7E"/>
    <w:rsid w:val="350C0B13"/>
    <w:rsid w:val="3510469D"/>
    <w:rsid w:val="35183D86"/>
    <w:rsid w:val="35196CF0"/>
    <w:rsid w:val="35197698"/>
    <w:rsid w:val="35235D3A"/>
    <w:rsid w:val="35276D90"/>
    <w:rsid w:val="352A6DFD"/>
    <w:rsid w:val="352C7499"/>
    <w:rsid w:val="352F18D6"/>
    <w:rsid w:val="353554CC"/>
    <w:rsid w:val="35364492"/>
    <w:rsid w:val="35372B3A"/>
    <w:rsid w:val="35385AF9"/>
    <w:rsid w:val="353B7A83"/>
    <w:rsid w:val="353C47A2"/>
    <w:rsid w:val="353D7E4F"/>
    <w:rsid w:val="353E699E"/>
    <w:rsid w:val="354315B2"/>
    <w:rsid w:val="354925FA"/>
    <w:rsid w:val="35503D27"/>
    <w:rsid w:val="35511B5F"/>
    <w:rsid w:val="355B54BA"/>
    <w:rsid w:val="356D5C58"/>
    <w:rsid w:val="35795919"/>
    <w:rsid w:val="357E3057"/>
    <w:rsid w:val="35814BDB"/>
    <w:rsid w:val="3585626B"/>
    <w:rsid w:val="358710A9"/>
    <w:rsid w:val="35905EBD"/>
    <w:rsid w:val="35906F28"/>
    <w:rsid w:val="35A602C7"/>
    <w:rsid w:val="35A96A51"/>
    <w:rsid w:val="35AB4245"/>
    <w:rsid w:val="35C02F69"/>
    <w:rsid w:val="35C76383"/>
    <w:rsid w:val="35CD569D"/>
    <w:rsid w:val="35CD5DC8"/>
    <w:rsid w:val="35D17246"/>
    <w:rsid w:val="35E03983"/>
    <w:rsid w:val="35E378D8"/>
    <w:rsid w:val="35E94C7C"/>
    <w:rsid w:val="35EA0225"/>
    <w:rsid w:val="35EA369A"/>
    <w:rsid w:val="35EB1A7A"/>
    <w:rsid w:val="35EF0324"/>
    <w:rsid w:val="360052B1"/>
    <w:rsid w:val="360A6340"/>
    <w:rsid w:val="36120D74"/>
    <w:rsid w:val="36143429"/>
    <w:rsid w:val="361E4AE3"/>
    <w:rsid w:val="3622070B"/>
    <w:rsid w:val="36251F63"/>
    <w:rsid w:val="36263CDA"/>
    <w:rsid w:val="36352A4C"/>
    <w:rsid w:val="363564B1"/>
    <w:rsid w:val="363A6A6D"/>
    <w:rsid w:val="363B2B07"/>
    <w:rsid w:val="364077B3"/>
    <w:rsid w:val="364C4233"/>
    <w:rsid w:val="365A6003"/>
    <w:rsid w:val="365D62BA"/>
    <w:rsid w:val="36603788"/>
    <w:rsid w:val="36621F84"/>
    <w:rsid w:val="36645AB4"/>
    <w:rsid w:val="36797AB2"/>
    <w:rsid w:val="368547F0"/>
    <w:rsid w:val="368C57C9"/>
    <w:rsid w:val="36980D45"/>
    <w:rsid w:val="36990736"/>
    <w:rsid w:val="369D3087"/>
    <w:rsid w:val="369F47BC"/>
    <w:rsid w:val="36A1288D"/>
    <w:rsid w:val="36A87D08"/>
    <w:rsid w:val="36AB2228"/>
    <w:rsid w:val="36C23E4F"/>
    <w:rsid w:val="36D16564"/>
    <w:rsid w:val="36E900A1"/>
    <w:rsid w:val="36EA565F"/>
    <w:rsid w:val="36EA6B97"/>
    <w:rsid w:val="36F262F0"/>
    <w:rsid w:val="36F562F4"/>
    <w:rsid w:val="36FC0948"/>
    <w:rsid w:val="36FE4544"/>
    <w:rsid w:val="37067706"/>
    <w:rsid w:val="3714538F"/>
    <w:rsid w:val="371A55F1"/>
    <w:rsid w:val="372063E1"/>
    <w:rsid w:val="37246282"/>
    <w:rsid w:val="372F6969"/>
    <w:rsid w:val="373A2E7C"/>
    <w:rsid w:val="37474264"/>
    <w:rsid w:val="374A5A56"/>
    <w:rsid w:val="374C3DDF"/>
    <w:rsid w:val="374E23B6"/>
    <w:rsid w:val="375566E7"/>
    <w:rsid w:val="37571B75"/>
    <w:rsid w:val="37587117"/>
    <w:rsid w:val="37622BBB"/>
    <w:rsid w:val="37645F6C"/>
    <w:rsid w:val="37686F0E"/>
    <w:rsid w:val="376960CE"/>
    <w:rsid w:val="376B6847"/>
    <w:rsid w:val="37705400"/>
    <w:rsid w:val="37710C5C"/>
    <w:rsid w:val="37761109"/>
    <w:rsid w:val="377C53E5"/>
    <w:rsid w:val="37817235"/>
    <w:rsid w:val="37824CC9"/>
    <w:rsid w:val="37880558"/>
    <w:rsid w:val="379906A0"/>
    <w:rsid w:val="37994A5D"/>
    <w:rsid w:val="379D59F9"/>
    <w:rsid w:val="379D6B42"/>
    <w:rsid w:val="37A020B2"/>
    <w:rsid w:val="37A4661F"/>
    <w:rsid w:val="37A518CA"/>
    <w:rsid w:val="37A54FE6"/>
    <w:rsid w:val="37A749CD"/>
    <w:rsid w:val="37A80E7B"/>
    <w:rsid w:val="37AE459E"/>
    <w:rsid w:val="37B55151"/>
    <w:rsid w:val="37BA184B"/>
    <w:rsid w:val="37BE1262"/>
    <w:rsid w:val="37BF3B7E"/>
    <w:rsid w:val="37C52A31"/>
    <w:rsid w:val="37CA7F1A"/>
    <w:rsid w:val="37CD00CD"/>
    <w:rsid w:val="37DC5CE7"/>
    <w:rsid w:val="37E230B1"/>
    <w:rsid w:val="37ED32D7"/>
    <w:rsid w:val="37EE567F"/>
    <w:rsid w:val="37F54AB8"/>
    <w:rsid w:val="37F77FAC"/>
    <w:rsid w:val="37F935EB"/>
    <w:rsid w:val="37F95798"/>
    <w:rsid w:val="380F6510"/>
    <w:rsid w:val="38115B53"/>
    <w:rsid w:val="38193A9C"/>
    <w:rsid w:val="381978AC"/>
    <w:rsid w:val="382553D0"/>
    <w:rsid w:val="38262340"/>
    <w:rsid w:val="3826686F"/>
    <w:rsid w:val="38311398"/>
    <w:rsid w:val="383154CD"/>
    <w:rsid w:val="383416DD"/>
    <w:rsid w:val="38372C86"/>
    <w:rsid w:val="38444E81"/>
    <w:rsid w:val="38446ADE"/>
    <w:rsid w:val="384D11B1"/>
    <w:rsid w:val="384E6830"/>
    <w:rsid w:val="38526532"/>
    <w:rsid w:val="38527054"/>
    <w:rsid w:val="38560707"/>
    <w:rsid w:val="385A729A"/>
    <w:rsid w:val="385F60B7"/>
    <w:rsid w:val="385F6517"/>
    <w:rsid w:val="38605FE6"/>
    <w:rsid w:val="38695184"/>
    <w:rsid w:val="38717E1C"/>
    <w:rsid w:val="38790CB6"/>
    <w:rsid w:val="387D3108"/>
    <w:rsid w:val="387D3F15"/>
    <w:rsid w:val="387E5402"/>
    <w:rsid w:val="388263D7"/>
    <w:rsid w:val="38890244"/>
    <w:rsid w:val="388F6879"/>
    <w:rsid w:val="38925D2A"/>
    <w:rsid w:val="38953B82"/>
    <w:rsid w:val="389A655A"/>
    <w:rsid w:val="389B484A"/>
    <w:rsid w:val="389D5847"/>
    <w:rsid w:val="389D6A55"/>
    <w:rsid w:val="389F62A1"/>
    <w:rsid w:val="38A10FDA"/>
    <w:rsid w:val="38A272B7"/>
    <w:rsid w:val="38A80B8B"/>
    <w:rsid w:val="38B3641B"/>
    <w:rsid w:val="38B73E50"/>
    <w:rsid w:val="38B74932"/>
    <w:rsid w:val="38B913DA"/>
    <w:rsid w:val="38BD2930"/>
    <w:rsid w:val="38BD3145"/>
    <w:rsid w:val="38BE7B20"/>
    <w:rsid w:val="38C00AD8"/>
    <w:rsid w:val="38C12DD0"/>
    <w:rsid w:val="38C2030E"/>
    <w:rsid w:val="38C36B9F"/>
    <w:rsid w:val="38D1106A"/>
    <w:rsid w:val="38D30666"/>
    <w:rsid w:val="38DA3B95"/>
    <w:rsid w:val="38E01980"/>
    <w:rsid w:val="38E51DB3"/>
    <w:rsid w:val="38E665A6"/>
    <w:rsid w:val="38ED7186"/>
    <w:rsid w:val="38F33AB2"/>
    <w:rsid w:val="38F72466"/>
    <w:rsid w:val="390E5E3E"/>
    <w:rsid w:val="391135FE"/>
    <w:rsid w:val="39121F38"/>
    <w:rsid w:val="39157C15"/>
    <w:rsid w:val="39165869"/>
    <w:rsid w:val="391B6207"/>
    <w:rsid w:val="391E006F"/>
    <w:rsid w:val="39244825"/>
    <w:rsid w:val="39350DAC"/>
    <w:rsid w:val="393804B8"/>
    <w:rsid w:val="39483E41"/>
    <w:rsid w:val="39536FFE"/>
    <w:rsid w:val="39662DAF"/>
    <w:rsid w:val="396853E6"/>
    <w:rsid w:val="396C07E9"/>
    <w:rsid w:val="396D0E20"/>
    <w:rsid w:val="39730E29"/>
    <w:rsid w:val="397A40A9"/>
    <w:rsid w:val="3987656C"/>
    <w:rsid w:val="39893A6B"/>
    <w:rsid w:val="398B7BDA"/>
    <w:rsid w:val="398C635D"/>
    <w:rsid w:val="398E29A0"/>
    <w:rsid w:val="399448A1"/>
    <w:rsid w:val="39963D9E"/>
    <w:rsid w:val="39965EC8"/>
    <w:rsid w:val="39A07410"/>
    <w:rsid w:val="39A30A0C"/>
    <w:rsid w:val="39AA1E8C"/>
    <w:rsid w:val="39AC2A23"/>
    <w:rsid w:val="39B90DFB"/>
    <w:rsid w:val="39C13E43"/>
    <w:rsid w:val="39C41ECE"/>
    <w:rsid w:val="39C8017A"/>
    <w:rsid w:val="39C94AE5"/>
    <w:rsid w:val="39CC153A"/>
    <w:rsid w:val="39CF0249"/>
    <w:rsid w:val="39D4213E"/>
    <w:rsid w:val="39D85E06"/>
    <w:rsid w:val="39DA4790"/>
    <w:rsid w:val="39DF2D91"/>
    <w:rsid w:val="39E43838"/>
    <w:rsid w:val="39EC1419"/>
    <w:rsid w:val="39FA4831"/>
    <w:rsid w:val="3A082049"/>
    <w:rsid w:val="3A087067"/>
    <w:rsid w:val="3A0D3117"/>
    <w:rsid w:val="3A0D60D4"/>
    <w:rsid w:val="3A0E15D8"/>
    <w:rsid w:val="3A0F3FFB"/>
    <w:rsid w:val="3A153539"/>
    <w:rsid w:val="3A1B51BB"/>
    <w:rsid w:val="3A1D71CA"/>
    <w:rsid w:val="3A22657D"/>
    <w:rsid w:val="3A246497"/>
    <w:rsid w:val="3A2C74E7"/>
    <w:rsid w:val="3A2C7DB0"/>
    <w:rsid w:val="3A2E27D6"/>
    <w:rsid w:val="3A2E45C4"/>
    <w:rsid w:val="3A4334B7"/>
    <w:rsid w:val="3A59012C"/>
    <w:rsid w:val="3A5A680F"/>
    <w:rsid w:val="3A5D0CDF"/>
    <w:rsid w:val="3A5F6741"/>
    <w:rsid w:val="3A600366"/>
    <w:rsid w:val="3A640CBE"/>
    <w:rsid w:val="3A64471A"/>
    <w:rsid w:val="3A703F52"/>
    <w:rsid w:val="3A706422"/>
    <w:rsid w:val="3A757080"/>
    <w:rsid w:val="3A7911CF"/>
    <w:rsid w:val="3A7C7196"/>
    <w:rsid w:val="3A8368E6"/>
    <w:rsid w:val="3A847D47"/>
    <w:rsid w:val="3A86186F"/>
    <w:rsid w:val="3A925F52"/>
    <w:rsid w:val="3A9515D1"/>
    <w:rsid w:val="3A97015D"/>
    <w:rsid w:val="3A9E02E4"/>
    <w:rsid w:val="3A9E1D58"/>
    <w:rsid w:val="3A9F6A60"/>
    <w:rsid w:val="3AAB6118"/>
    <w:rsid w:val="3AAE2254"/>
    <w:rsid w:val="3AC172BD"/>
    <w:rsid w:val="3AC3658E"/>
    <w:rsid w:val="3AC36DDB"/>
    <w:rsid w:val="3AC72970"/>
    <w:rsid w:val="3ACC7015"/>
    <w:rsid w:val="3ACD6C9C"/>
    <w:rsid w:val="3ACE2E05"/>
    <w:rsid w:val="3AD468E7"/>
    <w:rsid w:val="3AD50808"/>
    <w:rsid w:val="3AE00D6A"/>
    <w:rsid w:val="3AE134B1"/>
    <w:rsid w:val="3AE173AD"/>
    <w:rsid w:val="3AE31C6C"/>
    <w:rsid w:val="3AE424F5"/>
    <w:rsid w:val="3AF0513C"/>
    <w:rsid w:val="3AF57836"/>
    <w:rsid w:val="3B02746C"/>
    <w:rsid w:val="3B036874"/>
    <w:rsid w:val="3B105A75"/>
    <w:rsid w:val="3B137981"/>
    <w:rsid w:val="3B21234F"/>
    <w:rsid w:val="3B2525DB"/>
    <w:rsid w:val="3B2A2866"/>
    <w:rsid w:val="3B2F2EB3"/>
    <w:rsid w:val="3B360C15"/>
    <w:rsid w:val="3B3A7755"/>
    <w:rsid w:val="3B3D2D50"/>
    <w:rsid w:val="3B433519"/>
    <w:rsid w:val="3B463245"/>
    <w:rsid w:val="3B4824B0"/>
    <w:rsid w:val="3B5753CB"/>
    <w:rsid w:val="3B5B67E4"/>
    <w:rsid w:val="3B5D1CF8"/>
    <w:rsid w:val="3B6026FA"/>
    <w:rsid w:val="3B603AD3"/>
    <w:rsid w:val="3B651FE2"/>
    <w:rsid w:val="3B6C0B09"/>
    <w:rsid w:val="3B6E4E51"/>
    <w:rsid w:val="3B6F1F82"/>
    <w:rsid w:val="3B703729"/>
    <w:rsid w:val="3B7C32E3"/>
    <w:rsid w:val="3B7D17E7"/>
    <w:rsid w:val="3B814063"/>
    <w:rsid w:val="3B8202B1"/>
    <w:rsid w:val="3B8C2868"/>
    <w:rsid w:val="3B8C6154"/>
    <w:rsid w:val="3B8D745E"/>
    <w:rsid w:val="3B9C6E10"/>
    <w:rsid w:val="3B9D3B5E"/>
    <w:rsid w:val="3B9D5AE6"/>
    <w:rsid w:val="3B9F5DE7"/>
    <w:rsid w:val="3BAC02C4"/>
    <w:rsid w:val="3BB066F3"/>
    <w:rsid w:val="3BB10AE6"/>
    <w:rsid w:val="3BB53006"/>
    <w:rsid w:val="3BBE0B12"/>
    <w:rsid w:val="3BC10112"/>
    <w:rsid w:val="3BCB0D28"/>
    <w:rsid w:val="3BCD06B9"/>
    <w:rsid w:val="3BD0140D"/>
    <w:rsid w:val="3BD04786"/>
    <w:rsid w:val="3BD44BC0"/>
    <w:rsid w:val="3BD44E3C"/>
    <w:rsid w:val="3BDD4B2E"/>
    <w:rsid w:val="3BE23A36"/>
    <w:rsid w:val="3BE5401F"/>
    <w:rsid w:val="3BEF3A5C"/>
    <w:rsid w:val="3BF85FEB"/>
    <w:rsid w:val="3C087874"/>
    <w:rsid w:val="3C0B6B23"/>
    <w:rsid w:val="3C110989"/>
    <w:rsid w:val="3C406337"/>
    <w:rsid w:val="3C65465A"/>
    <w:rsid w:val="3C784B77"/>
    <w:rsid w:val="3C7E6D99"/>
    <w:rsid w:val="3C815D5F"/>
    <w:rsid w:val="3C820DEA"/>
    <w:rsid w:val="3C876288"/>
    <w:rsid w:val="3C8F06FD"/>
    <w:rsid w:val="3C8F2148"/>
    <w:rsid w:val="3C937CEC"/>
    <w:rsid w:val="3CA07408"/>
    <w:rsid w:val="3CA525A4"/>
    <w:rsid w:val="3CA54276"/>
    <w:rsid w:val="3CA56147"/>
    <w:rsid w:val="3CB854AF"/>
    <w:rsid w:val="3CB905F0"/>
    <w:rsid w:val="3CC636CF"/>
    <w:rsid w:val="3CC80935"/>
    <w:rsid w:val="3CCB78BA"/>
    <w:rsid w:val="3CCC171A"/>
    <w:rsid w:val="3CCE67ED"/>
    <w:rsid w:val="3CD47ED8"/>
    <w:rsid w:val="3CF5506A"/>
    <w:rsid w:val="3CFF1792"/>
    <w:rsid w:val="3D0426E1"/>
    <w:rsid w:val="3D117AC0"/>
    <w:rsid w:val="3D126BBC"/>
    <w:rsid w:val="3D1567D7"/>
    <w:rsid w:val="3D1859EF"/>
    <w:rsid w:val="3D1C50CB"/>
    <w:rsid w:val="3D243760"/>
    <w:rsid w:val="3D3574EC"/>
    <w:rsid w:val="3D392605"/>
    <w:rsid w:val="3D3F0627"/>
    <w:rsid w:val="3D44378F"/>
    <w:rsid w:val="3D4A50F0"/>
    <w:rsid w:val="3D4C1BE5"/>
    <w:rsid w:val="3D536014"/>
    <w:rsid w:val="3D543A82"/>
    <w:rsid w:val="3D54450C"/>
    <w:rsid w:val="3D5707FA"/>
    <w:rsid w:val="3D662038"/>
    <w:rsid w:val="3D664FC9"/>
    <w:rsid w:val="3D67779B"/>
    <w:rsid w:val="3D690AD7"/>
    <w:rsid w:val="3D6A6980"/>
    <w:rsid w:val="3D6B1600"/>
    <w:rsid w:val="3D7934FA"/>
    <w:rsid w:val="3D7B18A1"/>
    <w:rsid w:val="3D802B48"/>
    <w:rsid w:val="3D947822"/>
    <w:rsid w:val="3D9E4E0A"/>
    <w:rsid w:val="3DA004AB"/>
    <w:rsid w:val="3DA21546"/>
    <w:rsid w:val="3DA270CE"/>
    <w:rsid w:val="3DA474D7"/>
    <w:rsid w:val="3DB04E32"/>
    <w:rsid w:val="3DB466FA"/>
    <w:rsid w:val="3DB6127B"/>
    <w:rsid w:val="3DB95296"/>
    <w:rsid w:val="3DBB6182"/>
    <w:rsid w:val="3DC111ED"/>
    <w:rsid w:val="3DD34B4D"/>
    <w:rsid w:val="3DD610A7"/>
    <w:rsid w:val="3DEE6027"/>
    <w:rsid w:val="3DF052C2"/>
    <w:rsid w:val="3DF0600F"/>
    <w:rsid w:val="3DFD17CB"/>
    <w:rsid w:val="3E020F26"/>
    <w:rsid w:val="3E0A51E4"/>
    <w:rsid w:val="3E0C0A11"/>
    <w:rsid w:val="3E0C4910"/>
    <w:rsid w:val="3E155703"/>
    <w:rsid w:val="3E1D1D46"/>
    <w:rsid w:val="3E1F1D14"/>
    <w:rsid w:val="3E296F8A"/>
    <w:rsid w:val="3E360C42"/>
    <w:rsid w:val="3E425609"/>
    <w:rsid w:val="3E4901AC"/>
    <w:rsid w:val="3E4A5C4A"/>
    <w:rsid w:val="3E4F79B6"/>
    <w:rsid w:val="3E5126A6"/>
    <w:rsid w:val="3E5153D5"/>
    <w:rsid w:val="3E5A731E"/>
    <w:rsid w:val="3E6354BA"/>
    <w:rsid w:val="3E662637"/>
    <w:rsid w:val="3E667866"/>
    <w:rsid w:val="3E6821A8"/>
    <w:rsid w:val="3E6A245E"/>
    <w:rsid w:val="3E6E05CF"/>
    <w:rsid w:val="3E6E6AC5"/>
    <w:rsid w:val="3E790781"/>
    <w:rsid w:val="3E7A7E71"/>
    <w:rsid w:val="3E7D2420"/>
    <w:rsid w:val="3E7F14B6"/>
    <w:rsid w:val="3E8243C5"/>
    <w:rsid w:val="3E866F6D"/>
    <w:rsid w:val="3E886C73"/>
    <w:rsid w:val="3E904E02"/>
    <w:rsid w:val="3E957ABA"/>
    <w:rsid w:val="3EB11068"/>
    <w:rsid w:val="3EB14E1E"/>
    <w:rsid w:val="3EB22D23"/>
    <w:rsid w:val="3EB30A00"/>
    <w:rsid w:val="3EBA36CD"/>
    <w:rsid w:val="3EBE576E"/>
    <w:rsid w:val="3EC17197"/>
    <w:rsid w:val="3EC43FD2"/>
    <w:rsid w:val="3ECF1599"/>
    <w:rsid w:val="3ECF1C4E"/>
    <w:rsid w:val="3ED11DD2"/>
    <w:rsid w:val="3ED34331"/>
    <w:rsid w:val="3ED90C05"/>
    <w:rsid w:val="3EDF3E59"/>
    <w:rsid w:val="3EE53721"/>
    <w:rsid w:val="3EE62E96"/>
    <w:rsid w:val="3EEC12F4"/>
    <w:rsid w:val="3EEF65C3"/>
    <w:rsid w:val="3EF51336"/>
    <w:rsid w:val="3EFA15D7"/>
    <w:rsid w:val="3F065BC6"/>
    <w:rsid w:val="3F0B79F9"/>
    <w:rsid w:val="3F0D17E4"/>
    <w:rsid w:val="3F150D7F"/>
    <w:rsid w:val="3F16118A"/>
    <w:rsid w:val="3F183DB0"/>
    <w:rsid w:val="3F187A17"/>
    <w:rsid w:val="3F1D480D"/>
    <w:rsid w:val="3F303B7D"/>
    <w:rsid w:val="3F3242F7"/>
    <w:rsid w:val="3F3568F4"/>
    <w:rsid w:val="3F372292"/>
    <w:rsid w:val="3F3D4544"/>
    <w:rsid w:val="3F4F39B7"/>
    <w:rsid w:val="3F536DD2"/>
    <w:rsid w:val="3F56409D"/>
    <w:rsid w:val="3F5D576F"/>
    <w:rsid w:val="3F641921"/>
    <w:rsid w:val="3F672853"/>
    <w:rsid w:val="3F672DF3"/>
    <w:rsid w:val="3F6F1B40"/>
    <w:rsid w:val="3F7430F2"/>
    <w:rsid w:val="3F85700A"/>
    <w:rsid w:val="3F8E6A5E"/>
    <w:rsid w:val="3F9243E5"/>
    <w:rsid w:val="3FA32AA5"/>
    <w:rsid w:val="3FA3687C"/>
    <w:rsid w:val="3FA91D8E"/>
    <w:rsid w:val="3FAA747E"/>
    <w:rsid w:val="3FAB449E"/>
    <w:rsid w:val="3FB14153"/>
    <w:rsid w:val="3FB81656"/>
    <w:rsid w:val="3FC44780"/>
    <w:rsid w:val="3FDA10F1"/>
    <w:rsid w:val="3FDA7B9E"/>
    <w:rsid w:val="3FE62971"/>
    <w:rsid w:val="3FF26370"/>
    <w:rsid w:val="3FF405FD"/>
    <w:rsid w:val="3FF410AF"/>
    <w:rsid w:val="3FFB3A93"/>
    <w:rsid w:val="400A43F0"/>
    <w:rsid w:val="400D1DCC"/>
    <w:rsid w:val="40142334"/>
    <w:rsid w:val="40252C37"/>
    <w:rsid w:val="402A490F"/>
    <w:rsid w:val="40435D31"/>
    <w:rsid w:val="4049769A"/>
    <w:rsid w:val="404C3770"/>
    <w:rsid w:val="40551FB7"/>
    <w:rsid w:val="40556530"/>
    <w:rsid w:val="40597505"/>
    <w:rsid w:val="405B044B"/>
    <w:rsid w:val="40607E69"/>
    <w:rsid w:val="406406BB"/>
    <w:rsid w:val="406466D7"/>
    <w:rsid w:val="40685E88"/>
    <w:rsid w:val="406944F6"/>
    <w:rsid w:val="406D13FB"/>
    <w:rsid w:val="40734AF0"/>
    <w:rsid w:val="40741EFD"/>
    <w:rsid w:val="4077215F"/>
    <w:rsid w:val="40827EDD"/>
    <w:rsid w:val="40844C57"/>
    <w:rsid w:val="408C5472"/>
    <w:rsid w:val="408E430B"/>
    <w:rsid w:val="409E6664"/>
    <w:rsid w:val="40A155E6"/>
    <w:rsid w:val="40A3695C"/>
    <w:rsid w:val="40A82082"/>
    <w:rsid w:val="40A87679"/>
    <w:rsid w:val="40AA1CBE"/>
    <w:rsid w:val="40AA6858"/>
    <w:rsid w:val="40B86887"/>
    <w:rsid w:val="40C14F08"/>
    <w:rsid w:val="40C20EFA"/>
    <w:rsid w:val="40C70177"/>
    <w:rsid w:val="40CB426D"/>
    <w:rsid w:val="40CC3EF8"/>
    <w:rsid w:val="40CC7E0C"/>
    <w:rsid w:val="40CD7D32"/>
    <w:rsid w:val="40D62182"/>
    <w:rsid w:val="40DF69D6"/>
    <w:rsid w:val="40E239D9"/>
    <w:rsid w:val="40E869F3"/>
    <w:rsid w:val="40FC3E29"/>
    <w:rsid w:val="4101629D"/>
    <w:rsid w:val="41025797"/>
    <w:rsid w:val="410829EE"/>
    <w:rsid w:val="410E04D7"/>
    <w:rsid w:val="411808D6"/>
    <w:rsid w:val="411900EA"/>
    <w:rsid w:val="41197D64"/>
    <w:rsid w:val="411D598C"/>
    <w:rsid w:val="4121519B"/>
    <w:rsid w:val="41382436"/>
    <w:rsid w:val="41384096"/>
    <w:rsid w:val="41393261"/>
    <w:rsid w:val="41394C43"/>
    <w:rsid w:val="413A3AAE"/>
    <w:rsid w:val="413A50E8"/>
    <w:rsid w:val="413C1CD0"/>
    <w:rsid w:val="413E3FAA"/>
    <w:rsid w:val="41400BED"/>
    <w:rsid w:val="41463ECD"/>
    <w:rsid w:val="415236C3"/>
    <w:rsid w:val="415E024B"/>
    <w:rsid w:val="415F1232"/>
    <w:rsid w:val="41607DC8"/>
    <w:rsid w:val="416938F2"/>
    <w:rsid w:val="41724958"/>
    <w:rsid w:val="41790474"/>
    <w:rsid w:val="417B061B"/>
    <w:rsid w:val="417B5826"/>
    <w:rsid w:val="417C189D"/>
    <w:rsid w:val="41800BDB"/>
    <w:rsid w:val="418E62D3"/>
    <w:rsid w:val="41902FEB"/>
    <w:rsid w:val="4192524E"/>
    <w:rsid w:val="41961A18"/>
    <w:rsid w:val="419833D1"/>
    <w:rsid w:val="419F1829"/>
    <w:rsid w:val="41A70C20"/>
    <w:rsid w:val="41BD4F9E"/>
    <w:rsid w:val="41BE25BF"/>
    <w:rsid w:val="41C37E95"/>
    <w:rsid w:val="41C510DE"/>
    <w:rsid w:val="41C66480"/>
    <w:rsid w:val="41C76A75"/>
    <w:rsid w:val="41CB5A5F"/>
    <w:rsid w:val="41D47F05"/>
    <w:rsid w:val="41DC3A1F"/>
    <w:rsid w:val="41E27502"/>
    <w:rsid w:val="41E82B36"/>
    <w:rsid w:val="41EA4B7F"/>
    <w:rsid w:val="41EF06CC"/>
    <w:rsid w:val="41F65A8F"/>
    <w:rsid w:val="41FB4131"/>
    <w:rsid w:val="42043DBD"/>
    <w:rsid w:val="42044E8C"/>
    <w:rsid w:val="420825DB"/>
    <w:rsid w:val="4211020F"/>
    <w:rsid w:val="42282A47"/>
    <w:rsid w:val="422B4ACC"/>
    <w:rsid w:val="423908B2"/>
    <w:rsid w:val="423F12B4"/>
    <w:rsid w:val="423F2EAE"/>
    <w:rsid w:val="4242268F"/>
    <w:rsid w:val="42466673"/>
    <w:rsid w:val="424C086A"/>
    <w:rsid w:val="424C3C9E"/>
    <w:rsid w:val="424D37D3"/>
    <w:rsid w:val="42524934"/>
    <w:rsid w:val="4256223F"/>
    <w:rsid w:val="425A322A"/>
    <w:rsid w:val="425A4166"/>
    <w:rsid w:val="425D6CF3"/>
    <w:rsid w:val="426D7D2D"/>
    <w:rsid w:val="42700B25"/>
    <w:rsid w:val="4271011F"/>
    <w:rsid w:val="427515C7"/>
    <w:rsid w:val="427D3333"/>
    <w:rsid w:val="428077DD"/>
    <w:rsid w:val="428E163C"/>
    <w:rsid w:val="42916FFD"/>
    <w:rsid w:val="429326E6"/>
    <w:rsid w:val="429D25D4"/>
    <w:rsid w:val="42A11461"/>
    <w:rsid w:val="42A2011F"/>
    <w:rsid w:val="42A65BBE"/>
    <w:rsid w:val="42AC35F9"/>
    <w:rsid w:val="42AC51AD"/>
    <w:rsid w:val="42B27A00"/>
    <w:rsid w:val="42B755D6"/>
    <w:rsid w:val="42C169DE"/>
    <w:rsid w:val="42C574B9"/>
    <w:rsid w:val="42DA7926"/>
    <w:rsid w:val="42DE22DA"/>
    <w:rsid w:val="42DE6ED4"/>
    <w:rsid w:val="42DF4419"/>
    <w:rsid w:val="42E337FF"/>
    <w:rsid w:val="42E36B1E"/>
    <w:rsid w:val="42F4414D"/>
    <w:rsid w:val="42F87EFD"/>
    <w:rsid w:val="42FD4A18"/>
    <w:rsid w:val="430041CB"/>
    <w:rsid w:val="43077E2F"/>
    <w:rsid w:val="430D1820"/>
    <w:rsid w:val="430F05F8"/>
    <w:rsid w:val="430F0D37"/>
    <w:rsid w:val="43137833"/>
    <w:rsid w:val="43180EA6"/>
    <w:rsid w:val="43242E2E"/>
    <w:rsid w:val="433056B9"/>
    <w:rsid w:val="433364B4"/>
    <w:rsid w:val="433944A5"/>
    <w:rsid w:val="433A64DF"/>
    <w:rsid w:val="433C30FD"/>
    <w:rsid w:val="43465E16"/>
    <w:rsid w:val="434875E3"/>
    <w:rsid w:val="434B016E"/>
    <w:rsid w:val="434E181A"/>
    <w:rsid w:val="43506E03"/>
    <w:rsid w:val="435435D0"/>
    <w:rsid w:val="43592522"/>
    <w:rsid w:val="435F664B"/>
    <w:rsid w:val="436935AE"/>
    <w:rsid w:val="43723036"/>
    <w:rsid w:val="43740F52"/>
    <w:rsid w:val="43795E85"/>
    <w:rsid w:val="43830F44"/>
    <w:rsid w:val="438755AF"/>
    <w:rsid w:val="4397168B"/>
    <w:rsid w:val="43A84BF2"/>
    <w:rsid w:val="43A85F93"/>
    <w:rsid w:val="43B43681"/>
    <w:rsid w:val="43C22084"/>
    <w:rsid w:val="43CD07A1"/>
    <w:rsid w:val="43CD417A"/>
    <w:rsid w:val="43D44390"/>
    <w:rsid w:val="43DA527A"/>
    <w:rsid w:val="43DC24DE"/>
    <w:rsid w:val="43E0610B"/>
    <w:rsid w:val="43E6476E"/>
    <w:rsid w:val="43EB7CBD"/>
    <w:rsid w:val="43FD12E6"/>
    <w:rsid w:val="43FD545B"/>
    <w:rsid w:val="4427498A"/>
    <w:rsid w:val="442752D1"/>
    <w:rsid w:val="442819DC"/>
    <w:rsid w:val="44321581"/>
    <w:rsid w:val="443C6CFC"/>
    <w:rsid w:val="444018F2"/>
    <w:rsid w:val="444068DB"/>
    <w:rsid w:val="44456F42"/>
    <w:rsid w:val="44464697"/>
    <w:rsid w:val="444729A8"/>
    <w:rsid w:val="44502969"/>
    <w:rsid w:val="4457063A"/>
    <w:rsid w:val="44597E8D"/>
    <w:rsid w:val="445C0775"/>
    <w:rsid w:val="44637FE1"/>
    <w:rsid w:val="44676B4E"/>
    <w:rsid w:val="446902DF"/>
    <w:rsid w:val="446934B8"/>
    <w:rsid w:val="446C4E2F"/>
    <w:rsid w:val="44785494"/>
    <w:rsid w:val="44790C04"/>
    <w:rsid w:val="44853963"/>
    <w:rsid w:val="448F635F"/>
    <w:rsid w:val="4491415B"/>
    <w:rsid w:val="44930BE4"/>
    <w:rsid w:val="449A2941"/>
    <w:rsid w:val="449D0843"/>
    <w:rsid w:val="44AA098A"/>
    <w:rsid w:val="44B577B6"/>
    <w:rsid w:val="44BD7B2A"/>
    <w:rsid w:val="44C071C4"/>
    <w:rsid w:val="44C601E4"/>
    <w:rsid w:val="44CD5E69"/>
    <w:rsid w:val="44CF1705"/>
    <w:rsid w:val="44D04783"/>
    <w:rsid w:val="44D13EEF"/>
    <w:rsid w:val="44D869EF"/>
    <w:rsid w:val="44E67F98"/>
    <w:rsid w:val="44E71B78"/>
    <w:rsid w:val="44E83A07"/>
    <w:rsid w:val="44EA7E38"/>
    <w:rsid w:val="44F15B6E"/>
    <w:rsid w:val="44F45128"/>
    <w:rsid w:val="44F57FB1"/>
    <w:rsid w:val="44F832C3"/>
    <w:rsid w:val="44F903A3"/>
    <w:rsid w:val="44FA0F7B"/>
    <w:rsid w:val="44FC207C"/>
    <w:rsid w:val="450E1AE0"/>
    <w:rsid w:val="450E3E12"/>
    <w:rsid w:val="451323F9"/>
    <w:rsid w:val="451371E7"/>
    <w:rsid w:val="451512B0"/>
    <w:rsid w:val="451B1802"/>
    <w:rsid w:val="451E53CC"/>
    <w:rsid w:val="45215810"/>
    <w:rsid w:val="45241BD2"/>
    <w:rsid w:val="45292354"/>
    <w:rsid w:val="4534194A"/>
    <w:rsid w:val="453E0B02"/>
    <w:rsid w:val="453F137A"/>
    <w:rsid w:val="45402EB0"/>
    <w:rsid w:val="454371FB"/>
    <w:rsid w:val="454528A1"/>
    <w:rsid w:val="45461D3E"/>
    <w:rsid w:val="454E7965"/>
    <w:rsid w:val="45516C3E"/>
    <w:rsid w:val="45552037"/>
    <w:rsid w:val="45594CBE"/>
    <w:rsid w:val="455C4C9D"/>
    <w:rsid w:val="4565245B"/>
    <w:rsid w:val="45656B30"/>
    <w:rsid w:val="4567108C"/>
    <w:rsid w:val="45676F70"/>
    <w:rsid w:val="456F14A4"/>
    <w:rsid w:val="456F5976"/>
    <w:rsid w:val="457C4EC6"/>
    <w:rsid w:val="45880DD8"/>
    <w:rsid w:val="458C4971"/>
    <w:rsid w:val="45926EEA"/>
    <w:rsid w:val="4595085A"/>
    <w:rsid w:val="459641C0"/>
    <w:rsid w:val="45AA64EE"/>
    <w:rsid w:val="45B05B91"/>
    <w:rsid w:val="45B1596C"/>
    <w:rsid w:val="45B51968"/>
    <w:rsid w:val="45BB6EFC"/>
    <w:rsid w:val="45BE7740"/>
    <w:rsid w:val="45CD1FF3"/>
    <w:rsid w:val="45D72262"/>
    <w:rsid w:val="45DC7D2E"/>
    <w:rsid w:val="45E33617"/>
    <w:rsid w:val="45E46FC6"/>
    <w:rsid w:val="45E550CD"/>
    <w:rsid w:val="45EF089D"/>
    <w:rsid w:val="45F04172"/>
    <w:rsid w:val="45F06D7A"/>
    <w:rsid w:val="45F63AFC"/>
    <w:rsid w:val="460437F6"/>
    <w:rsid w:val="46095667"/>
    <w:rsid w:val="460D75BA"/>
    <w:rsid w:val="461C636C"/>
    <w:rsid w:val="461D01B4"/>
    <w:rsid w:val="46250BF2"/>
    <w:rsid w:val="462656FA"/>
    <w:rsid w:val="462837C6"/>
    <w:rsid w:val="462A7AA4"/>
    <w:rsid w:val="46366024"/>
    <w:rsid w:val="46367096"/>
    <w:rsid w:val="464204F7"/>
    <w:rsid w:val="464452B9"/>
    <w:rsid w:val="46475247"/>
    <w:rsid w:val="464D5746"/>
    <w:rsid w:val="464E6C07"/>
    <w:rsid w:val="4652306A"/>
    <w:rsid w:val="46554B48"/>
    <w:rsid w:val="4661684D"/>
    <w:rsid w:val="466B2726"/>
    <w:rsid w:val="466E7576"/>
    <w:rsid w:val="467C21F2"/>
    <w:rsid w:val="467E6DC8"/>
    <w:rsid w:val="4681763F"/>
    <w:rsid w:val="46913CAA"/>
    <w:rsid w:val="4697348C"/>
    <w:rsid w:val="46A61BFD"/>
    <w:rsid w:val="46A7355E"/>
    <w:rsid w:val="46C41F77"/>
    <w:rsid w:val="46D131A7"/>
    <w:rsid w:val="46D32C80"/>
    <w:rsid w:val="46D336B0"/>
    <w:rsid w:val="46D734D1"/>
    <w:rsid w:val="46DD2C18"/>
    <w:rsid w:val="46DF267B"/>
    <w:rsid w:val="46E26E65"/>
    <w:rsid w:val="46ED539A"/>
    <w:rsid w:val="46EE148F"/>
    <w:rsid w:val="46F27C78"/>
    <w:rsid w:val="46F353D6"/>
    <w:rsid w:val="46F35D13"/>
    <w:rsid w:val="46F76480"/>
    <w:rsid w:val="46FB3A51"/>
    <w:rsid w:val="46FB5C88"/>
    <w:rsid w:val="470178BC"/>
    <w:rsid w:val="47052A5B"/>
    <w:rsid w:val="470533C1"/>
    <w:rsid w:val="471719A2"/>
    <w:rsid w:val="471B3868"/>
    <w:rsid w:val="473C55B7"/>
    <w:rsid w:val="473F470C"/>
    <w:rsid w:val="473F6DB0"/>
    <w:rsid w:val="4742286A"/>
    <w:rsid w:val="474C0126"/>
    <w:rsid w:val="47522A8A"/>
    <w:rsid w:val="47575A28"/>
    <w:rsid w:val="475F57A9"/>
    <w:rsid w:val="476640B2"/>
    <w:rsid w:val="4772434B"/>
    <w:rsid w:val="4779184F"/>
    <w:rsid w:val="47846DF4"/>
    <w:rsid w:val="4786400E"/>
    <w:rsid w:val="47870149"/>
    <w:rsid w:val="478B2283"/>
    <w:rsid w:val="478E6A28"/>
    <w:rsid w:val="4791293A"/>
    <w:rsid w:val="47973ABA"/>
    <w:rsid w:val="4798137E"/>
    <w:rsid w:val="479A48E9"/>
    <w:rsid w:val="479B043C"/>
    <w:rsid w:val="47A06D86"/>
    <w:rsid w:val="47A64BEC"/>
    <w:rsid w:val="47AF7F6E"/>
    <w:rsid w:val="47B040CF"/>
    <w:rsid w:val="47BA2E98"/>
    <w:rsid w:val="47C43776"/>
    <w:rsid w:val="47C52E6F"/>
    <w:rsid w:val="47CA610C"/>
    <w:rsid w:val="47CB573F"/>
    <w:rsid w:val="47D178FD"/>
    <w:rsid w:val="47D320F9"/>
    <w:rsid w:val="47D71F9F"/>
    <w:rsid w:val="47E12632"/>
    <w:rsid w:val="47EA3DAA"/>
    <w:rsid w:val="47EC1120"/>
    <w:rsid w:val="47F22F77"/>
    <w:rsid w:val="47F42DFF"/>
    <w:rsid w:val="47FC782A"/>
    <w:rsid w:val="48045EC8"/>
    <w:rsid w:val="48085492"/>
    <w:rsid w:val="48151831"/>
    <w:rsid w:val="481E0E29"/>
    <w:rsid w:val="48352F00"/>
    <w:rsid w:val="483829F6"/>
    <w:rsid w:val="483E03A1"/>
    <w:rsid w:val="48406FEF"/>
    <w:rsid w:val="485108B4"/>
    <w:rsid w:val="48581B1B"/>
    <w:rsid w:val="48590EB2"/>
    <w:rsid w:val="485D42C2"/>
    <w:rsid w:val="48623287"/>
    <w:rsid w:val="486A0617"/>
    <w:rsid w:val="486B5B1F"/>
    <w:rsid w:val="486E6EEB"/>
    <w:rsid w:val="487249A5"/>
    <w:rsid w:val="487A6CCB"/>
    <w:rsid w:val="48824D9B"/>
    <w:rsid w:val="48864741"/>
    <w:rsid w:val="4888656D"/>
    <w:rsid w:val="4892300F"/>
    <w:rsid w:val="48992E34"/>
    <w:rsid w:val="48A35484"/>
    <w:rsid w:val="48A40B36"/>
    <w:rsid w:val="48AC2C76"/>
    <w:rsid w:val="48AE6A4D"/>
    <w:rsid w:val="48B32CA5"/>
    <w:rsid w:val="48B7622C"/>
    <w:rsid w:val="48B931F7"/>
    <w:rsid w:val="48B96E82"/>
    <w:rsid w:val="48BC6A1A"/>
    <w:rsid w:val="48D1036E"/>
    <w:rsid w:val="48D74BB5"/>
    <w:rsid w:val="48DF5253"/>
    <w:rsid w:val="48E3179E"/>
    <w:rsid w:val="48E47722"/>
    <w:rsid w:val="48E755C3"/>
    <w:rsid w:val="48EE2267"/>
    <w:rsid w:val="48FF2528"/>
    <w:rsid w:val="49034BEA"/>
    <w:rsid w:val="490672C7"/>
    <w:rsid w:val="490C6944"/>
    <w:rsid w:val="490F0759"/>
    <w:rsid w:val="49161B52"/>
    <w:rsid w:val="491F0D76"/>
    <w:rsid w:val="492420DF"/>
    <w:rsid w:val="492E0FFC"/>
    <w:rsid w:val="49346B63"/>
    <w:rsid w:val="49362656"/>
    <w:rsid w:val="49454DBB"/>
    <w:rsid w:val="494649D2"/>
    <w:rsid w:val="494D68D7"/>
    <w:rsid w:val="494F5502"/>
    <w:rsid w:val="49503D27"/>
    <w:rsid w:val="49593BD4"/>
    <w:rsid w:val="49617657"/>
    <w:rsid w:val="496517B4"/>
    <w:rsid w:val="4968059C"/>
    <w:rsid w:val="496E150A"/>
    <w:rsid w:val="49706CFF"/>
    <w:rsid w:val="497154D5"/>
    <w:rsid w:val="49720E07"/>
    <w:rsid w:val="49731643"/>
    <w:rsid w:val="49752D77"/>
    <w:rsid w:val="497B6D9E"/>
    <w:rsid w:val="497C233D"/>
    <w:rsid w:val="4988760E"/>
    <w:rsid w:val="498B5CA2"/>
    <w:rsid w:val="498C4E75"/>
    <w:rsid w:val="49920894"/>
    <w:rsid w:val="499F29F8"/>
    <w:rsid w:val="49A358AF"/>
    <w:rsid w:val="49B03282"/>
    <w:rsid w:val="49BD50BA"/>
    <w:rsid w:val="49BD5C96"/>
    <w:rsid w:val="49C05CB4"/>
    <w:rsid w:val="49C30428"/>
    <w:rsid w:val="49CE38D0"/>
    <w:rsid w:val="49D15402"/>
    <w:rsid w:val="49D42A43"/>
    <w:rsid w:val="49D727D8"/>
    <w:rsid w:val="49D9673D"/>
    <w:rsid w:val="49DA743C"/>
    <w:rsid w:val="49E2378B"/>
    <w:rsid w:val="49E43E42"/>
    <w:rsid w:val="49E5210A"/>
    <w:rsid w:val="49EB7D92"/>
    <w:rsid w:val="49EC2E8E"/>
    <w:rsid w:val="49EF2C41"/>
    <w:rsid w:val="49FC12A2"/>
    <w:rsid w:val="4A016CDB"/>
    <w:rsid w:val="4A0D1CB5"/>
    <w:rsid w:val="4A117FBB"/>
    <w:rsid w:val="4A1C7579"/>
    <w:rsid w:val="4A291682"/>
    <w:rsid w:val="4A3578BB"/>
    <w:rsid w:val="4A384AAD"/>
    <w:rsid w:val="4A3C1545"/>
    <w:rsid w:val="4A413C1A"/>
    <w:rsid w:val="4A48031D"/>
    <w:rsid w:val="4A5350AC"/>
    <w:rsid w:val="4A5506BF"/>
    <w:rsid w:val="4A5F6EED"/>
    <w:rsid w:val="4A673D99"/>
    <w:rsid w:val="4A754493"/>
    <w:rsid w:val="4A761D4F"/>
    <w:rsid w:val="4A7704FA"/>
    <w:rsid w:val="4A7E496A"/>
    <w:rsid w:val="4A806932"/>
    <w:rsid w:val="4A8427F2"/>
    <w:rsid w:val="4A864086"/>
    <w:rsid w:val="4A8D4CAA"/>
    <w:rsid w:val="4A8E0CA3"/>
    <w:rsid w:val="4A9F6512"/>
    <w:rsid w:val="4AAB388A"/>
    <w:rsid w:val="4AAF1E31"/>
    <w:rsid w:val="4AC20CD4"/>
    <w:rsid w:val="4AC25B60"/>
    <w:rsid w:val="4AC412A3"/>
    <w:rsid w:val="4AC56436"/>
    <w:rsid w:val="4AC75A4E"/>
    <w:rsid w:val="4AC86F53"/>
    <w:rsid w:val="4ACA6A0E"/>
    <w:rsid w:val="4ACC23B4"/>
    <w:rsid w:val="4ACD6D51"/>
    <w:rsid w:val="4ACE775D"/>
    <w:rsid w:val="4AD00A5F"/>
    <w:rsid w:val="4AD24386"/>
    <w:rsid w:val="4AD365EF"/>
    <w:rsid w:val="4AE307FF"/>
    <w:rsid w:val="4AE35528"/>
    <w:rsid w:val="4AE8236C"/>
    <w:rsid w:val="4AF241CE"/>
    <w:rsid w:val="4AF76A55"/>
    <w:rsid w:val="4AF84256"/>
    <w:rsid w:val="4B084673"/>
    <w:rsid w:val="4B114A06"/>
    <w:rsid w:val="4B147A98"/>
    <w:rsid w:val="4B16605F"/>
    <w:rsid w:val="4B1D698B"/>
    <w:rsid w:val="4B215C74"/>
    <w:rsid w:val="4B2377E0"/>
    <w:rsid w:val="4B295468"/>
    <w:rsid w:val="4B301B28"/>
    <w:rsid w:val="4B306C86"/>
    <w:rsid w:val="4B3E694D"/>
    <w:rsid w:val="4B411416"/>
    <w:rsid w:val="4B4667C5"/>
    <w:rsid w:val="4B4B6AFE"/>
    <w:rsid w:val="4B4F735F"/>
    <w:rsid w:val="4B5217AE"/>
    <w:rsid w:val="4B541AEC"/>
    <w:rsid w:val="4B5A52D4"/>
    <w:rsid w:val="4B65672F"/>
    <w:rsid w:val="4B692A14"/>
    <w:rsid w:val="4B694E7E"/>
    <w:rsid w:val="4B7C748E"/>
    <w:rsid w:val="4B84122F"/>
    <w:rsid w:val="4B873DDF"/>
    <w:rsid w:val="4B8740F3"/>
    <w:rsid w:val="4B877724"/>
    <w:rsid w:val="4B8E41E8"/>
    <w:rsid w:val="4B906C07"/>
    <w:rsid w:val="4B965EA9"/>
    <w:rsid w:val="4B983192"/>
    <w:rsid w:val="4B9B2710"/>
    <w:rsid w:val="4BA243E3"/>
    <w:rsid w:val="4BB27A04"/>
    <w:rsid w:val="4BB41D5F"/>
    <w:rsid w:val="4BB46AEC"/>
    <w:rsid w:val="4BB46D28"/>
    <w:rsid w:val="4BB639BC"/>
    <w:rsid w:val="4BBB52CA"/>
    <w:rsid w:val="4BBC61DE"/>
    <w:rsid w:val="4BC61831"/>
    <w:rsid w:val="4BD4213A"/>
    <w:rsid w:val="4BD73CC0"/>
    <w:rsid w:val="4BE1487E"/>
    <w:rsid w:val="4BE37492"/>
    <w:rsid w:val="4BE40D82"/>
    <w:rsid w:val="4BE63277"/>
    <w:rsid w:val="4BE715D0"/>
    <w:rsid w:val="4BE719D0"/>
    <w:rsid w:val="4BEF4FCD"/>
    <w:rsid w:val="4BF37400"/>
    <w:rsid w:val="4BF85C75"/>
    <w:rsid w:val="4BFC623C"/>
    <w:rsid w:val="4BFC7340"/>
    <w:rsid w:val="4C002C84"/>
    <w:rsid w:val="4C04268E"/>
    <w:rsid w:val="4C066755"/>
    <w:rsid w:val="4C0843AC"/>
    <w:rsid w:val="4C0F740F"/>
    <w:rsid w:val="4C1A167A"/>
    <w:rsid w:val="4C1A2404"/>
    <w:rsid w:val="4C260F91"/>
    <w:rsid w:val="4C2E2E4B"/>
    <w:rsid w:val="4C2F6BBD"/>
    <w:rsid w:val="4C32172A"/>
    <w:rsid w:val="4C326301"/>
    <w:rsid w:val="4C354900"/>
    <w:rsid w:val="4C3553B3"/>
    <w:rsid w:val="4C3A09AC"/>
    <w:rsid w:val="4C3C26FF"/>
    <w:rsid w:val="4C452294"/>
    <w:rsid w:val="4C457F07"/>
    <w:rsid w:val="4C4703E9"/>
    <w:rsid w:val="4C4733BF"/>
    <w:rsid w:val="4C5A6740"/>
    <w:rsid w:val="4C5F0284"/>
    <w:rsid w:val="4C695C07"/>
    <w:rsid w:val="4C6D405E"/>
    <w:rsid w:val="4C6E4161"/>
    <w:rsid w:val="4C7063BD"/>
    <w:rsid w:val="4C72387C"/>
    <w:rsid w:val="4C803351"/>
    <w:rsid w:val="4C8D12F3"/>
    <w:rsid w:val="4C8F1816"/>
    <w:rsid w:val="4C9019E0"/>
    <w:rsid w:val="4C9F3958"/>
    <w:rsid w:val="4CA31C33"/>
    <w:rsid w:val="4CAC77F2"/>
    <w:rsid w:val="4CAF2930"/>
    <w:rsid w:val="4CBB0620"/>
    <w:rsid w:val="4CBC2465"/>
    <w:rsid w:val="4CBD7EBF"/>
    <w:rsid w:val="4CBF0972"/>
    <w:rsid w:val="4CC53424"/>
    <w:rsid w:val="4CCA632A"/>
    <w:rsid w:val="4CCC0AE2"/>
    <w:rsid w:val="4CD378E0"/>
    <w:rsid w:val="4CDA5ED4"/>
    <w:rsid w:val="4CDE1AD5"/>
    <w:rsid w:val="4CDF0D3C"/>
    <w:rsid w:val="4CE2379C"/>
    <w:rsid w:val="4CE271A2"/>
    <w:rsid w:val="4CE3179B"/>
    <w:rsid w:val="4CE96AFA"/>
    <w:rsid w:val="4CFB135D"/>
    <w:rsid w:val="4CFC2B5D"/>
    <w:rsid w:val="4D05104B"/>
    <w:rsid w:val="4D1153AD"/>
    <w:rsid w:val="4D122319"/>
    <w:rsid w:val="4D135635"/>
    <w:rsid w:val="4D1A3A9E"/>
    <w:rsid w:val="4D1E7538"/>
    <w:rsid w:val="4D2A5770"/>
    <w:rsid w:val="4D332BC0"/>
    <w:rsid w:val="4D3B063E"/>
    <w:rsid w:val="4D3D30EA"/>
    <w:rsid w:val="4D4A68DF"/>
    <w:rsid w:val="4D521735"/>
    <w:rsid w:val="4D5B4E5A"/>
    <w:rsid w:val="4D6E3C3E"/>
    <w:rsid w:val="4D700A0A"/>
    <w:rsid w:val="4D702A72"/>
    <w:rsid w:val="4D7E6966"/>
    <w:rsid w:val="4D7F400F"/>
    <w:rsid w:val="4D8339E1"/>
    <w:rsid w:val="4D841C11"/>
    <w:rsid w:val="4D8854E8"/>
    <w:rsid w:val="4D8F3017"/>
    <w:rsid w:val="4D9B7858"/>
    <w:rsid w:val="4DA52F9B"/>
    <w:rsid w:val="4DBE7B68"/>
    <w:rsid w:val="4DC75BEC"/>
    <w:rsid w:val="4DC8482D"/>
    <w:rsid w:val="4DCB73D6"/>
    <w:rsid w:val="4DCD7AB3"/>
    <w:rsid w:val="4DD34C8F"/>
    <w:rsid w:val="4DD55E24"/>
    <w:rsid w:val="4DD74ADC"/>
    <w:rsid w:val="4DDD52DF"/>
    <w:rsid w:val="4DE16731"/>
    <w:rsid w:val="4DE31E49"/>
    <w:rsid w:val="4DEA73F4"/>
    <w:rsid w:val="4DEC69B6"/>
    <w:rsid w:val="4DF53C2B"/>
    <w:rsid w:val="4DF8764F"/>
    <w:rsid w:val="4DFB0F0C"/>
    <w:rsid w:val="4E02195D"/>
    <w:rsid w:val="4E090A51"/>
    <w:rsid w:val="4E137F54"/>
    <w:rsid w:val="4E140A76"/>
    <w:rsid w:val="4E1E3986"/>
    <w:rsid w:val="4E1E79AB"/>
    <w:rsid w:val="4E2B2ECA"/>
    <w:rsid w:val="4E3079CC"/>
    <w:rsid w:val="4E3D3C53"/>
    <w:rsid w:val="4E3E17C5"/>
    <w:rsid w:val="4E424E0A"/>
    <w:rsid w:val="4E430744"/>
    <w:rsid w:val="4E433CC5"/>
    <w:rsid w:val="4E4818E7"/>
    <w:rsid w:val="4E4C2A60"/>
    <w:rsid w:val="4E5529D7"/>
    <w:rsid w:val="4E597007"/>
    <w:rsid w:val="4E5D1640"/>
    <w:rsid w:val="4E83483E"/>
    <w:rsid w:val="4E8757D8"/>
    <w:rsid w:val="4E907E71"/>
    <w:rsid w:val="4E931509"/>
    <w:rsid w:val="4E963CD6"/>
    <w:rsid w:val="4EAD4863"/>
    <w:rsid w:val="4EB042BB"/>
    <w:rsid w:val="4EBD0362"/>
    <w:rsid w:val="4EC4140B"/>
    <w:rsid w:val="4ED34529"/>
    <w:rsid w:val="4EDA20E9"/>
    <w:rsid w:val="4EE313F7"/>
    <w:rsid w:val="4EE9504C"/>
    <w:rsid w:val="4EEE7BD8"/>
    <w:rsid w:val="4EF4610A"/>
    <w:rsid w:val="4F0F01E8"/>
    <w:rsid w:val="4F0F596D"/>
    <w:rsid w:val="4F1376A4"/>
    <w:rsid w:val="4F143784"/>
    <w:rsid w:val="4F1902AC"/>
    <w:rsid w:val="4F295009"/>
    <w:rsid w:val="4F326A65"/>
    <w:rsid w:val="4F4D5393"/>
    <w:rsid w:val="4F50595C"/>
    <w:rsid w:val="4F5269A4"/>
    <w:rsid w:val="4F555439"/>
    <w:rsid w:val="4F5B52E2"/>
    <w:rsid w:val="4F5C247A"/>
    <w:rsid w:val="4F666433"/>
    <w:rsid w:val="4F6A26E5"/>
    <w:rsid w:val="4F6B5F32"/>
    <w:rsid w:val="4F6D42DF"/>
    <w:rsid w:val="4F6E529B"/>
    <w:rsid w:val="4F6F0FDE"/>
    <w:rsid w:val="4F7B5B61"/>
    <w:rsid w:val="4F896757"/>
    <w:rsid w:val="4F9F6C61"/>
    <w:rsid w:val="4FA27320"/>
    <w:rsid w:val="4FA75486"/>
    <w:rsid w:val="4FA95A40"/>
    <w:rsid w:val="4FB16D04"/>
    <w:rsid w:val="4FB408BD"/>
    <w:rsid w:val="4FB44E89"/>
    <w:rsid w:val="4FB56C6C"/>
    <w:rsid w:val="4FB95C76"/>
    <w:rsid w:val="4FB95F4D"/>
    <w:rsid w:val="4FBF6668"/>
    <w:rsid w:val="4FC52B8C"/>
    <w:rsid w:val="4FCA38B8"/>
    <w:rsid w:val="4FD41B13"/>
    <w:rsid w:val="4FD775AB"/>
    <w:rsid w:val="4FDF474B"/>
    <w:rsid w:val="4FE4008C"/>
    <w:rsid w:val="4FE90A4B"/>
    <w:rsid w:val="4FE919F6"/>
    <w:rsid w:val="4FE95145"/>
    <w:rsid w:val="4FEA5B71"/>
    <w:rsid w:val="4FEF7A0A"/>
    <w:rsid w:val="4FF579B6"/>
    <w:rsid w:val="500855AF"/>
    <w:rsid w:val="50093516"/>
    <w:rsid w:val="500A5CD2"/>
    <w:rsid w:val="501810F0"/>
    <w:rsid w:val="50215BC6"/>
    <w:rsid w:val="50320C4B"/>
    <w:rsid w:val="503659CB"/>
    <w:rsid w:val="50443F88"/>
    <w:rsid w:val="506B5B4E"/>
    <w:rsid w:val="50732FA1"/>
    <w:rsid w:val="508E5DC2"/>
    <w:rsid w:val="508F7D26"/>
    <w:rsid w:val="5092573D"/>
    <w:rsid w:val="50A401C5"/>
    <w:rsid w:val="50AE2C23"/>
    <w:rsid w:val="50AE78F6"/>
    <w:rsid w:val="50B92D38"/>
    <w:rsid w:val="50CB242F"/>
    <w:rsid w:val="50D725AB"/>
    <w:rsid w:val="50DC5AC3"/>
    <w:rsid w:val="50E76594"/>
    <w:rsid w:val="50EC6D23"/>
    <w:rsid w:val="50F5234B"/>
    <w:rsid w:val="50F5754E"/>
    <w:rsid w:val="50FE5F0D"/>
    <w:rsid w:val="51095FB2"/>
    <w:rsid w:val="510B000C"/>
    <w:rsid w:val="510D191B"/>
    <w:rsid w:val="510D4AD7"/>
    <w:rsid w:val="51115D0E"/>
    <w:rsid w:val="511650EA"/>
    <w:rsid w:val="51170A05"/>
    <w:rsid w:val="511E381A"/>
    <w:rsid w:val="511E61AC"/>
    <w:rsid w:val="51306688"/>
    <w:rsid w:val="51312361"/>
    <w:rsid w:val="5137779C"/>
    <w:rsid w:val="513B4F0F"/>
    <w:rsid w:val="51416DDF"/>
    <w:rsid w:val="514C6D1D"/>
    <w:rsid w:val="515423FE"/>
    <w:rsid w:val="515769C3"/>
    <w:rsid w:val="51622688"/>
    <w:rsid w:val="5168648E"/>
    <w:rsid w:val="516B342B"/>
    <w:rsid w:val="516D3B0D"/>
    <w:rsid w:val="517C2101"/>
    <w:rsid w:val="51847E47"/>
    <w:rsid w:val="51855D64"/>
    <w:rsid w:val="519268E7"/>
    <w:rsid w:val="51934EE7"/>
    <w:rsid w:val="519555A7"/>
    <w:rsid w:val="51A677CC"/>
    <w:rsid w:val="51AA5183"/>
    <w:rsid w:val="51BB408E"/>
    <w:rsid w:val="51BF62DF"/>
    <w:rsid w:val="51C06AD8"/>
    <w:rsid w:val="51C32DB0"/>
    <w:rsid w:val="51C6197A"/>
    <w:rsid w:val="51C930DB"/>
    <w:rsid w:val="51CC35E9"/>
    <w:rsid w:val="51D55469"/>
    <w:rsid w:val="51DA5195"/>
    <w:rsid w:val="51DB4D62"/>
    <w:rsid w:val="51DE5321"/>
    <w:rsid w:val="51E3762A"/>
    <w:rsid w:val="51EC22EE"/>
    <w:rsid w:val="51EC4557"/>
    <w:rsid w:val="51F14AED"/>
    <w:rsid w:val="51F2552A"/>
    <w:rsid w:val="51F41AF0"/>
    <w:rsid w:val="51F50142"/>
    <w:rsid w:val="51F5233B"/>
    <w:rsid w:val="51F55A22"/>
    <w:rsid w:val="5200040D"/>
    <w:rsid w:val="520354CB"/>
    <w:rsid w:val="520541F0"/>
    <w:rsid w:val="52073B7E"/>
    <w:rsid w:val="521765E8"/>
    <w:rsid w:val="521C11C9"/>
    <w:rsid w:val="521C6281"/>
    <w:rsid w:val="521D2FE9"/>
    <w:rsid w:val="52233D4A"/>
    <w:rsid w:val="52294B9F"/>
    <w:rsid w:val="522C22A3"/>
    <w:rsid w:val="522D2A50"/>
    <w:rsid w:val="522F1F8F"/>
    <w:rsid w:val="52316617"/>
    <w:rsid w:val="52353700"/>
    <w:rsid w:val="52354240"/>
    <w:rsid w:val="52366388"/>
    <w:rsid w:val="523B0129"/>
    <w:rsid w:val="523E496F"/>
    <w:rsid w:val="52484B88"/>
    <w:rsid w:val="524B2C32"/>
    <w:rsid w:val="52574ACD"/>
    <w:rsid w:val="52646DB1"/>
    <w:rsid w:val="52707276"/>
    <w:rsid w:val="52845EB7"/>
    <w:rsid w:val="52906FD2"/>
    <w:rsid w:val="529356BA"/>
    <w:rsid w:val="52966C2F"/>
    <w:rsid w:val="529E0F36"/>
    <w:rsid w:val="52A23C0B"/>
    <w:rsid w:val="52A6610C"/>
    <w:rsid w:val="52A963E2"/>
    <w:rsid w:val="52AC4D56"/>
    <w:rsid w:val="52B247FA"/>
    <w:rsid w:val="52B54557"/>
    <w:rsid w:val="52B75523"/>
    <w:rsid w:val="52BD0319"/>
    <w:rsid w:val="52BF1C4C"/>
    <w:rsid w:val="52C75236"/>
    <w:rsid w:val="52CB6C02"/>
    <w:rsid w:val="52D72801"/>
    <w:rsid w:val="52DA39EB"/>
    <w:rsid w:val="52E527CE"/>
    <w:rsid w:val="52F31070"/>
    <w:rsid w:val="52F9634E"/>
    <w:rsid w:val="52FC47D9"/>
    <w:rsid w:val="52FF86ED"/>
    <w:rsid w:val="53102AD3"/>
    <w:rsid w:val="53136379"/>
    <w:rsid w:val="531E61D4"/>
    <w:rsid w:val="53220C74"/>
    <w:rsid w:val="532C2830"/>
    <w:rsid w:val="53390769"/>
    <w:rsid w:val="53421A0C"/>
    <w:rsid w:val="534F756F"/>
    <w:rsid w:val="53520A71"/>
    <w:rsid w:val="535B1E03"/>
    <w:rsid w:val="535C0C90"/>
    <w:rsid w:val="536C21A9"/>
    <w:rsid w:val="53721B0A"/>
    <w:rsid w:val="5372773D"/>
    <w:rsid w:val="53802ED2"/>
    <w:rsid w:val="53842794"/>
    <w:rsid w:val="53854EEE"/>
    <w:rsid w:val="53921B0A"/>
    <w:rsid w:val="53A72354"/>
    <w:rsid w:val="53A85008"/>
    <w:rsid w:val="53B706AA"/>
    <w:rsid w:val="53BA61E4"/>
    <w:rsid w:val="53C47235"/>
    <w:rsid w:val="53C925D9"/>
    <w:rsid w:val="53CC12AA"/>
    <w:rsid w:val="53D42E6E"/>
    <w:rsid w:val="53D43B1B"/>
    <w:rsid w:val="53DD526E"/>
    <w:rsid w:val="53E029A2"/>
    <w:rsid w:val="53E547D3"/>
    <w:rsid w:val="53EA7E04"/>
    <w:rsid w:val="53F41131"/>
    <w:rsid w:val="53F574AE"/>
    <w:rsid w:val="53F74202"/>
    <w:rsid w:val="54026824"/>
    <w:rsid w:val="540C4DFC"/>
    <w:rsid w:val="540D0AA4"/>
    <w:rsid w:val="54263737"/>
    <w:rsid w:val="54383CB5"/>
    <w:rsid w:val="543A53F1"/>
    <w:rsid w:val="543E6A4D"/>
    <w:rsid w:val="544357B4"/>
    <w:rsid w:val="54465F32"/>
    <w:rsid w:val="544A290C"/>
    <w:rsid w:val="54585883"/>
    <w:rsid w:val="54597AAC"/>
    <w:rsid w:val="5463222A"/>
    <w:rsid w:val="546332E9"/>
    <w:rsid w:val="546C25C1"/>
    <w:rsid w:val="546F49CE"/>
    <w:rsid w:val="5474707F"/>
    <w:rsid w:val="548B28B2"/>
    <w:rsid w:val="548D7D11"/>
    <w:rsid w:val="549E51CE"/>
    <w:rsid w:val="54A038F0"/>
    <w:rsid w:val="54A42661"/>
    <w:rsid w:val="54AD4386"/>
    <w:rsid w:val="54AE1F7B"/>
    <w:rsid w:val="54AE28DD"/>
    <w:rsid w:val="54B41788"/>
    <w:rsid w:val="54B716A8"/>
    <w:rsid w:val="54BB22D5"/>
    <w:rsid w:val="54BD7EA8"/>
    <w:rsid w:val="54C348F3"/>
    <w:rsid w:val="54D94277"/>
    <w:rsid w:val="54DC5DF9"/>
    <w:rsid w:val="54DE4A6C"/>
    <w:rsid w:val="54E05932"/>
    <w:rsid w:val="54E621CF"/>
    <w:rsid w:val="54ED2559"/>
    <w:rsid w:val="54F16A8B"/>
    <w:rsid w:val="54F73880"/>
    <w:rsid w:val="55072D48"/>
    <w:rsid w:val="55097099"/>
    <w:rsid w:val="551873A0"/>
    <w:rsid w:val="551A3E80"/>
    <w:rsid w:val="551B6D58"/>
    <w:rsid w:val="551C1CF9"/>
    <w:rsid w:val="551E0B73"/>
    <w:rsid w:val="55200FFC"/>
    <w:rsid w:val="552B71A0"/>
    <w:rsid w:val="552C6193"/>
    <w:rsid w:val="552D212B"/>
    <w:rsid w:val="552D73F1"/>
    <w:rsid w:val="55420070"/>
    <w:rsid w:val="5551156F"/>
    <w:rsid w:val="555603D6"/>
    <w:rsid w:val="555820DE"/>
    <w:rsid w:val="555E20A2"/>
    <w:rsid w:val="55601C81"/>
    <w:rsid w:val="55615F25"/>
    <w:rsid w:val="55631929"/>
    <w:rsid w:val="556327FA"/>
    <w:rsid w:val="556C2A31"/>
    <w:rsid w:val="556F4CDC"/>
    <w:rsid w:val="55752396"/>
    <w:rsid w:val="557578BA"/>
    <w:rsid w:val="5578103F"/>
    <w:rsid w:val="557E4F88"/>
    <w:rsid w:val="557F18FF"/>
    <w:rsid w:val="558A2526"/>
    <w:rsid w:val="558B2D8E"/>
    <w:rsid w:val="558C361C"/>
    <w:rsid w:val="55946DE6"/>
    <w:rsid w:val="559664D9"/>
    <w:rsid w:val="55AE4728"/>
    <w:rsid w:val="55BB667A"/>
    <w:rsid w:val="55C05DB6"/>
    <w:rsid w:val="55D92BD8"/>
    <w:rsid w:val="55DD064F"/>
    <w:rsid w:val="55DE0247"/>
    <w:rsid w:val="55E61BF1"/>
    <w:rsid w:val="55EC1661"/>
    <w:rsid w:val="55EE7DAE"/>
    <w:rsid w:val="55EF0A06"/>
    <w:rsid w:val="55F043A1"/>
    <w:rsid w:val="55F11252"/>
    <w:rsid w:val="55F16E3C"/>
    <w:rsid w:val="55F3103B"/>
    <w:rsid w:val="55F72763"/>
    <w:rsid w:val="55FE7D65"/>
    <w:rsid w:val="56020D31"/>
    <w:rsid w:val="5606205A"/>
    <w:rsid w:val="561361E0"/>
    <w:rsid w:val="562306D4"/>
    <w:rsid w:val="562E6265"/>
    <w:rsid w:val="562F5724"/>
    <w:rsid w:val="56307BDA"/>
    <w:rsid w:val="563425F3"/>
    <w:rsid w:val="563E7F76"/>
    <w:rsid w:val="56465731"/>
    <w:rsid w:val="56494A4A"/>
    <w:rsid w:val="564C2384"/>
    <w:rsid w:val="565175B9"/>
    <w:rsid w:val="565569F0"/>
    <w:rsid w:val="56563FD8"/>
    <w:rsid w:val="5657159A"/>
    <w:rsid w:val="5658448A"/>
    <w:rsid w:val="566A4E5F"/>
    <w:rsid w:val="567243C1"/>
    <w:rsid w:val="56843736"/>
    <w:rsid w:val="568657D3"/>
    <w:rsid w:val="5687508A"/>
    <w:rsid w:val="56894682"/>
    <w:rsid w:val="568B5B87"/>
    <w:rsid w:val="56952515"/>
    <w:rsid w:val="569A5635"/>
    <w:rsid w:val="569B2727"/>
    <w:rsid w:val="569D1A2E"/>
    <w:rsid w:val="56A33B92"/>
    <w:rsid w:val="56B02E08"/>
    <w:rsid w:val="56B13F75"/>
    <w:rsid w:val="56B50E7C"/>
    <w:rsid w:val="56B51277"/>
    <w:rsid w:val="56BA3715"/>
    <w:rsid w:val="56C63329"/>
    <w:rsid w:val="56C8000A"/>
    <w:rsid w:val="56D47CBC"/>
    <w:rsid w:val="56D63B94"/>
    <w:rsid w:val="56DF57ED"/>
    <w:rsid w:val="56E034C0"/>
    <w:rsid w:val="56E1584E"/>
    <w:rsid w:val="56E31739"/>
    <w:rsid w:val="56E94382"/>
    <w:rsid w:val="56EC1644"/>
    <w:rsid w:val="56F2596A"/>
    <w:rsid w:val="56F26741"/>
    <w:rsid w:val="56F273CD"/>
    <w:rsid w:val="56F723B0"/>
    <w:rsid w:val="57011D65"/>
    <w:rsid w:val="570A2513"/>
    <w:rsid w:val="570B3C7B"/>
    <w:rsid w:val="57137B7B"/>
    <w:rsid w:val="571A100B"/>
    <w:rsid w:val="571E2D59"/>
    <w:rsid w:val="571E6563"/>
    <w:rsid w:val="571E6CC7"/>
    <w:rsid w:val="572B32BA"/>
    <w:rsid w:val="572F019E"/>
    <w:rsid w:val="573241F0"/>
    <w:rsid w:val="57343E2A"/>
    <w:rsid w:val="57357E1B"/>
    <w:rsid w:val="573604F1"/>
    <w:rsid w:val="573635DD"/>
    <w:rsid w:val="57393318"/>
    <w:rsid w:val="57395137"/>
    <w:rsid w:val="573A061C"/>
    <w:rsid w:val="573B08FA"/>
    <w:rsid w:val="57542446"/>
    <w:rsid w:val="575A0B21"/>
    <w:rsid w:val="575D1270"/>
    <w:rsid w:val="5766193A"/>
    <w:rsid w:val="576768BA"/>
    <w:rsid w:val="576E5034"/>
    <w:rsid w:val="577821D2"/>
    <w:rsid w:val="577B5C4B"/>
    <w:rsid w:val="57836BFA"/>
    <w:rsid w:val="57865DE5"/>
    <w:rsid w:val="578B1E85"/>
    <w:rsid w:val="579128E3"/>
    <w:rsid w:val="579A6DF4"/>
    <w:rsid w:val="579C6FED"/>
    <w:rsid w:val="57A604DF"/>
    <w:rsid w:val="57B3607C"/>
    <w:rsid w:val="57BA0587"/>
    <w:rsid w:val="57BA449A"/>
    <w:rsid w:val="57BC467D"/>
    <w:rsid w:val="57C14FC7"/>
    <w:rsid w:val="57C273F8"/>
    <w:rsid w:val="57CD7278"/>
    <w:rsid w:val="57D16E87"/>
    <w:rsid w:val="57D37E6D"/>
    <w:rsid w:val="57DE0455"/>
    <w:rsid w:val="57E14D07"/>
    <w:rsid w:val="57E20E24"/>
    <w:rsid w:val="57E40070"/>
    <w:rsid w:val="57E63960"/>
    <w:rsid w:val="57EB2315"/>
    <w:rsid w:val="57EB47EE"/>
    <w:rsid w:val="57EB6509"/>
    <w:rsid w:val="57F95F0F"/>
    <w:rsid w:val="580A2387"/>
    <w:rsid w:val="580D09CB"/>
    <w:rsid w:val="58113635"/>
    <w:rsid w:val="581450AD"/>
    <w:rsid w:val="58161322"/>
    <w:rsid w:val="581E10DB"/>
    <w:rsid w:val="581E4E26"/>
    <w:rsid w:val="58205BC3"/>
    <w:rsid w:val="582121D2"/>
    <w:rsid w:val="5823192F"/>
    <w:rsid w:val="582531CB"/>
    <w:rsid w:val="58274574"/>
    <w:rsid w:val="582A097E"/>
    <w:rsid w:val="582B7996"/>
    <w:rsid w:val="583833EC"/>
    <w:rsid w:val="583B07F8"/>
    <w:rsid w:val="58454EFD"/>
    <w:rsid w:val="584637BB"/>
    <w:rsid w:val="58540B69"/>
    <w:rsid w:val="58552F17"/>
    <w:rsid w:val="58566096"/>
    <w:rsid w:val="58566355"/>
    <w:rsid w:val="58601FCE"/>
    <w:rsid w:val="58627B4D"/>
    <w:rsid w:val="586D4F50"/>
    <w:rsid w:val="58720ADF"/>
    <w:rsid w:val="58721754"/>
    <w:rsid w:val="588028E9"/>
    <w:rsid w:val="588806E7"/>
    <w:rsid w:val="58895290"/>
    <w:rsid w:val="588D1B64"/>
    <w:rsid w:val="58932A50"/>
    <w:rsid w:val="589349CB"/>
    <w:rsid w:val="58AD385A"/>
    <w:rsid w:val="58AE24D6"/>
    <w:rsid w:val="58B4092F"/>
    <w:rsid w:val="58B7788D"/>
    <w:rsid w:val="58BE607F"/>
    <w:rsid w:val="58C84D97"/>
    <w:rsid w:val="58D0301E"/>
    <w:rsid w:val="58DD4D67"/>
    <w:rsid w:val="58E53F1E"/>
    <w:rsid w:val="58EA2EB6"/>
    <w:rsid w:val="58F50165"/>
    <w:rsid w:val="58F92654"/>
    <w:rsid w:val="58FD0A64"/>
    <w:rsid w:val="58FD2A23"/>
    <w:rsid w:val="59035BFD"/>
    <w:rsid w:val="59066EC7"/>
    <w:rsid w:val="590955B9"/>
    <w:rsid w:val="592164E1"/>
    <w:rsid w:val="59222993"/>
    <w:rsid w:val="59236EAE"/>
    <w:rsid w:val="5924089B"/>
    <w:rsid w:val="592471E6"/>
    <w:rsid w:val="592A5170"/>
    <w:rsid w:val="592D6BAC"/>
    <w:rsid w:val="592E7833"/>
    <w:rsid w:val="59322FA4"/>
    <w:rsid w:val="59395444"/>
    <w:rsid w:val="593C5340"/>
    <w:rsid w:val="594314F6"/>
    <w:rsid w:val="59477273"/>
    <w:rsid w:val="594A06FD"/>
    <w:rsid w:val="59671FCA"/>
    <w:rsid w:val="596A6252"/>
    <w:rsid w:val="597B2EAD"/>
    <w:rsid w:val="597D3006"/>
    <w:rsid w:val="598018C2"/>
    <w:rsid w:val="59850AC6"/>
    <w:rsid w:val="5987442F"/>
    <w:rsid w:val="5994067E"/>
    <w:rsid w:val="59A363FB"/>
    <w:rsid w:val="59A971E2"/>
    <w:rsid w:val="59AE4602"/>
    <w:rsid w:val="59AF2962"/>
    <w:rsid w:val="59AF5727"/>
    <w:rsid w:val="59B1697A"/>
    <w:rsid w:val="59B562CF"/>
    <w:rsid w:val="59B722DD"/>
    <w:rsid w:val="59B96E9E"/>
    <w:rsid w:val="59C06D19"/>
    <w:rsid w:val="59C23F59"/>
    <w:rsid w:val="59C634C0"/>
    <w:rsid w:val="59D4172F"/>
    <w:rsid w:val="59D61556"/>
    <w:rsid w:val="59DA2AE6"/>
    <w:rsid w:val="59E00BCD"/>
    <w:rsid w:val="59E30F94"/>
    <w:rsid w:val="59E62E48"/>
    <w:rsid w:val="59EA73BF"/>
    <w:rsid w:val="59F2620D"/>
    <w:rsid w:val="59F952D5"/>
    <w:rsid w:val="59FA2C63"/>
    <w:rsid w:val="59FE5733"/>
    <w:rsid w:val="5A001FDE"/>
    <w:rsid w:val="5A07169B"/>
    <w:rsid w:val="5A0912B1"/>
    <w:rsid w:val="5A12377D"/>
    <w:rsid w:val="5A1413D3"/>
    <w:rsid w:val="5A175A54"/>
    <w:rsid w:val="5A1A0EC8"/>
    <w:rsid w:val="5A1F0FA9"/>
    <w:rsid w:val="5A24383C"/>
    <w:rsid w:val="5A290D59"/>
    <w:rsid w:val="5A311769"/>
    <w:rsid w:val="5A3330B3"/>
    <w:rsid w:val="5A487AF9"/>
    <w:rsid w:val="5A541D21"/>
    <w:rsid w:val="5A580517"/>
    <w:rsid w:val="5A5D14B2"/>
    <w:rsid w:val="5A5D547C"/>
    <w:rsid w:val="5A6838D1"/>
    <w:rsid w:val="5A6B1963"/>
    <w:rsid w:val="5A7831A7"/>
    <w:rsid w:val="5A7D3D08"/>
    <w:rsid w:val="5A7E2F43"/>
    <w:rsid w:val="5A7F74B6"/>
    <w:rsid w:val="5A8337F3"/>
    <w:rsid w:val="5A8615A4"/>
    <w:rsid w:val="5A864F05"/>
    <w:rsid w:val="5A866425"/>
    <w:rsid w:val="5A883428"/>
    <w:rsid w:val="5A8B2353"/>
    <w:rsid w:val="5A8D18B6"/>
    <w:rsid w:val="5A8D5E79"/>
    <w:rsid w:val="5A911579"/>
    <w:rsid w:val="5A963A2C"/>
    <w:rsid w:val="5A9B2E9B"/>
    <w:rsid w:val="5AA05C23"/>
    <w:rsid w:val="5AA1750E"/>
    <w:rsid w:val="5AA517A5"/>
    <w:rsid w:val="5AAA783D"/>
    <w:rsid w:val="5AAB4BAC"/>
    <w:rsid w:val="5AAD5598"/>
    <w:rsid w:val="5AC3547B"/>
    <w:rsid w:val="5AC84754"/>
    <w:rsid w:val="5ACB4D5D"/>
    <w:rsid w:val="5ACD0BD1"/>
    <w:rsid w:val="5AD263B9"/>
    <w:rsid w:val="5AD50F77"/>
    <w:rsid w:val="5AD72C9D"/>
    <w:rsid w:val="5AD92FD3"/>
    <w:rsid w:val="5ADC2466"/>
    <w:rsid w:val="5ADD7F0D"/>
    <w:rsid w:val="5ADE06CB"/>
    <w:rsid w:val="5AE37CCF"/>
    <w:rsid w:val="5AE7474D"/>
    <w:rsid w:val="5AE8436A"/>
    <w:rsid w:val="5AEA433E"/>
    <w:rsid w:val="5AEC372E"/>
    <w:rsid w:val="5AFB04BB"/>
    <w:rsid w:val="5B010305"/>
    <w:rsid w:val="5B023EC3"/>
    <w:rsid w:val="5B0B2228"/>
    <w:rsid w:val="5B0B6592"/>
    <w:rsid w:val="5B110DE6"/>
    <w:rsid w:val="5B16578A"/>
    <w:rsid w:val="5B1825BA"/>
    <w:rsid w:val="5B1C43A2"/>
    <w:rsid w:val="5B206AED"/>
    <w:rsid w:val="5B21632C"/>
    <w:rsid w:val="5B26781B"/>
    <w:rsid w:val="5B3069D5"/>
    <w:rsid w:val="5B32766D"/>
    <w:rsid w:val="5B356970"/>
    <w:rsid w:val="5B4138E1"/>
    <w:rsid w:val="5B4324D2"/>
    <w:rsid w:val="5B4641F3"/>
    <w:rsid w:val="5B471A90"/>
    <w:rsid w:val="5B4E64FB"/>
    <w:rsid w:val="5B56776D"/>
    <w:rsid w:val="5B683F40"/>
    <w:rsid w:val="5B686A02"/>
    <w:rsid w:val="5B6B5AC2"/>
    <w:rsid w:val="5B70101D"/>
    <w:rsid w:val="5B70779D"/>
    <w:rsid w:val="5B7106D7"/>
    <w:rsid w:val="5B723831"/>
    <w:rsid w:val="5B7C0EA1"/>
    <w:rsid w:val="5B8156E9"/>
    <w:rsid w:val="5B853951"/>
    <w:rsid w:val="5B866486"/>
    <w:rsid w:val="5B9312DB"/>
    <w:rsid w:val="5B955AE0"/>
    <w:rsid w:val="5B9749FF"/>
    <w:rsid w:val="5B983A01"/>
    <w:rsid w:val="5B9950E7"/>
    <w:rsid w:val="5B9A1671"/>
    <w:rsid w:val="5B9F3B78"/>
    <w:rsid w:val="5B9F60A7"/>
    <w:rsid w:val="5BA9528D"/>
    <w:rsid w:val="5BAD519C"/>
    <w:rsid w:val="5BAD72B9"/>
    <w:rsid w:val="5BB121C7"/>
    <w:rsid w:val="5BB56952"/>
    <w:rsid w:val="5BB70362"/>
    <w:rsid w:val="5BC638E7"/>
    <w:rsid w:val="5BC6455F"/>
    <w:rsid w:val="5BC72E68"/>
    <w:rsid w:val="5BCD17B1"/>
    <w:rsid w:val="5BE45089"/>
    <w:rsid w:val="5BEB2002"/>
    <w:rsid w:val="5BEC3CF3"/>
    <w:rsid w:val="5BF542BE"/>
    <w:rsid w:val="5BFF22FD"/>
    <w:rsid w:val="5C0557AC"/>
    <w:rsid w:val="5C0B1215"/>
    <w:rsid w:val="5C1C138A"/>
    <w:rsid w:val="5C1D74E6"/>
    <w:rsid w:val="5C2036DD"/>
    <w:rsid w:val="5C216BDB"/>
    <w:rsid w:val="5C2648AB"/>
    <w:rsid w:val="5C284528"/>
    <w:rsid w:val="5C334B13"/>
    <w:rsid w:val="5C355841"/>
    <w:rsid w:val="5C3F1EB9"/>
    <w:rsid w:val="5C49348B"/>
    <w:rsid w:val="5C4C6043"/>
    <w:rsid w:val="5C4D7BF2"/>
    <w:rsid w:val="5C4F474F"/>
    <w:rsid w:val="5C536354"/>
    <w:rsid w:val="5C542E34"/>
    <w:rsid w:val="5C553AB2"/>
    <w:rsid w:val="5C553B77"/>
    <w:rsid w:val="5C5E674E"/>
    <w:rsid w:val="5C5F281C"/>
    <w:rsid w:val="5C633134"/>
    <w:rsid w:val="5C683DF0"/>
    <w:rsid w:val="5C690F2A"/>
    <w:rsid w:val="5C6D2D57"/>
    <w:rsid w:val="5C6E2E6A"/>
    <w:rsid w:val="5C746AD6"/>
    <w:rsid w:val="5C7532D0"/>
    <w:rsid w:val="5C76314A"/>
    <w:rsid w:val="5C795135"/>
    <w:rsid w:val="5C874D9C"/>
    <w:rsid w:val="5C912A0E"/>
    <w:rsid w:val="5C9F4151"/>
    <w:rsid w:val="5CA455B1"/>
    <w:rsid w:val="5CA72FF4"/>
    <w:rsid w:val="5CA770E8"/>
    <w:rsid w:val="5CAA7ED2"/>
    <w:rsid w:val="5CAF581F"/>
    <w:rsid w:val="5CC463EA"/>
    <w:rsid w:val="5CCB2FA4"/>
    <w:rsid w:val="5CCD2F7B"/>
    <w:rsid w:val="5CD437C7"/>
    <w:rsid w:val="5CD50461"/>
    <w:rsid w:val="5CD80A26"/>
    <w:rsid w:val="5CD8751C"/>
    <w:rsid w:val="5CDF4D3B"/>
    <w:rsid w:val="5CE415AF"/>
    <w:rsid w:val="5CEB425B"/>
    <w:rsid w:val="5CED56B3"/>
    <w:rsid w:val="5CF52DE9"/>
    <w:rsid w:val="5CFA5594"/>
    <w:rsid w:val="5D073C8D"/>
    <w:rsid w:val="5D0D3316"/>
    <w:rsid w:val="5D0D63C3"/>
    <w:rsid w:val="5D131DBD"/>
    <w:rsid w:val="5D1769BA"/>
    <w:rsid w:val="5D194597"/>
    <w:rsid w:val="5D2C51FF"/>
    <w:rsid w:val="5D335984"/>
    <w:rsid w:val="5D3831A9"/>
    <w:rsid w:val="5D4719D0"/>
    <w:rsid w:val="5D4C06B6"/>
    <w:rsid w:val="5D4F0615"/>
    <w:rsid w:val="5D510A93"/>
    <w:rsid w:val="5D536B0C"/>
    <w:rsid w:val="5D5B1F20"/>
    <w:rsid w:val="5D631B97"/>
    <w:rsid w:val="5D6B4940"/>
    <w:rsid w:val="5D701CE9"/>
    <w:rsid w:val="5D745CED"/>
    <w:rsid w:val="5D76285A"/>
    <w:rsid w:val="5D770429"/>
    <w:rsid w:val="5D801093"/>
    <w:rsid w:val="5D8030EE"/>
    <w:rsid w:val="5D8142B6"/>
    <w:rsid w:val="5D8F1669"/>
    <w:rsid w:val="5D931437"/>
    <w:rsid w:val="5D9505AC"/>
    <w:rsid w:val="5D9E6704"/>
    <w:rsid w:val="5DA27308"/>
    <w:rsid w:val="5DA301B1"/>
    <w:rsid w:val="5DA97CDF"/>
    <w:rsid w:val="5DB840D5"/>
    <w:rsid w:val="5DBC6243"/>
    <w:rsid w:val="5DBE6003"/>
    <w:rsid w:val="5DC72C1B"/>
    <w:rsid w:val="5DF243F9"/>
    <w:rsid w:val="5DF2762A"/>
    <w:rsid w:val="5DF63197"/>
    <w:rsid w:val="5DFC354E"/>
    <w:rsid w:val="5E0006EA"/>
    <w:rsid w:val="5E060E97"/>
    <w:rsid w:val="5E094727"/>
    <w:rsid w:val="5E0D0108"/>
    <w:rsid w:val="5E1D4371"/>
    <w:rsid w:val="5E2354C1"/>
    <w:rsid w:val="5E241226"/>
    <w:rsid w:val="5E283023"/>
    <w:rsid w:val="5E2D5824"/>
    <w:rsid w:val="5E322837"/>
    <w:rsid w:val="5E336A69"/>
    <w:rsid w:val="5E3800CC"/>
    <w:rsid w:val="5E3B2A02"/>
    <w:rsid w:val="5E3C1BE2"/>
    <w:rsid w:val="5E4944E6"/>
    <w:rsid w:val="5E4C0E2D"/>
    <w:rsid w:val="5E601F09"/>
    <w:rsid w:val="5E6B15CF"/>
    <w:rsid w:val="5E6C5F4A"/>
    <w:rsid w:val="5E6F61F1"/>
    <w:rsid w:val="5E72073D"/>
    <w:rsid w:val="5E721BE4"/>
    <w:rsid w:val="5E737440"/>
    <w:rsid w:val="5E737B4F"/>
    <w:rsid w:val="5E7602D4"/>
    <w:rsid w:val="5E793C6B"/>
    <w:rsid w:val="5E7A375C"/>
    <w:rsid w:val="5E7A7E09"/>
    <w:rsid w:val="5E834061"/>
    <w:rsid w:val="5E8500F6"/>
    <w:rsid w:val="5E9141D4"/>
    <w:rsid w:val="5E9650BF"/>
    <w:rsid w:val="5E967012"/>
    <w:rsid w:val="5EA4633C"/>
    <w:rsid w:val="5EAB6DB9"/>
    <w:rsid w:val="5EAB6DDE"/>
    <w:rsid w:val="5EB03AB1"/>
    <w:rsid w:val="5EB11968"/>
    <w:rsid w:val="5EBD5F0F"/>
    <w:rsid w:val="5EC63076"/>
    <w:rsid w:val="5EC840D4"/>
    <w:rsid w:val="5ECB2AEB"/>
    <w:rsid w:val="5ED65A65"/>
    <w:rsid w:val="5ED70D17"/>
    <w:rsid w:val="5EF94647"/>
    <w:rsid w:val="5EFD7482"/>
    <w:rsid w:val="5F0C4853"/>
    <w:rsid w:val="5F1757F5"/>
    <w:rsid w:val="5F184CEC"/>
    <w:rsid w:val="5F1929CF"/>
    <w:rsid w:val="5F287056"/>
    <w:rsid w:val="5F2C4964"/>
    <w:rsid w:val="5F2E0905"/>
    <w:rsid w:val="5F347454"/>
    <w:rsid w:val="5F373CA1"/>
    <w:rsid w:val="5F3A0E25"/>
    <w:rsid w:val="5F465884"/>
    <w:rsid w:val="5F476F59"/>
    <w:rsid w:val="5F483791"/>
    <w:rsid w:val="5F4F7CB1"/>
    <w:rsid w:val="5F502C8B"/>
    <w:rsid w:val="5F542E93"/>
    <w:rsid w:val="5F61113E"/>
    <w:rsid w:val="5F614C45"/>
    <w:rsid w:val="5F627F96"/>
    <w:rsid w:val="5F63012B"/>
    <w:rsid w:val="5F667C80"/>
    <w:rsid w:val="5F6F2BBD"/>
    <w:rsid w:val="5F7467D9"/>
    <w:rsid w:val="5F785DBE"/>
    <w:rsid w:val="5F7879F4"/>
    <w:rsid w:val="5F7D395B"/>
    <w:rsid w:val="5F815A76"/>
    <w:rsid w:val="5F865C37"/>
    <w:rsid w:val="5F972D18"/>
    <w:rsid w:val="5FA035C1"/>
    <w:rsid w:val="5FAD18E9"/>
    <w:rsid w:val="5FAD3E5E"/>
    <w:rsid w:val="5FAF5AD6"/>
    <w:rsid w:val="5FB157C6"/>
    <w:rsid w:val="5FB879DC"/>
    <w:rsid w:val="5FCF4618"/>
    <w:rsid w:val="5FDA019E"/>
    <w:rsid w:val="5FDD5E5D"/>
    <w:rsid w:val="5FE2436C"/>
    <w:rsid w:val="5FEC26B6"/>
    <w:rsid w:val="5FF21CEF"/>
    <w:rsid w:val="5FF2371E"/>
    <w:rsid w:val="5FF26E42"/>
    <w:rsid w:val="5FF6593F"/>
    <w:rsid w:val="5FF704BC"/>
    <w:rsid w:val="5FF8174E"/>
    <w:rsid w:val="5FFA45B8"/>
    <w:rsid w:val="5FFB53A8"/>
    <w:rsid w:val="600140E3"/>
    <w:rsid w:val="600442CD"/>
    <w:rsid w:val="600609B8"/>
    <w:rsid w:val="60170A22"/>
    <w:rsid w:val="60185761"/>
    <w:rsid w:val="601A17C5"/>
    <w:rsid w:val="601D3615"/>
    <w:rsid w:val="60216FB8"/>
    <w:rsid w:val="60251DD3"/>
    <w:rsid w:val="602A5BC3"/>
    <w:rsid w:val="603019D3"/>
    <w:rsid w:val="603807DE"/>
    <w:rsid w:val="60392DE9"/>
    <w:rsid w:val="603F3052"/>
    <w:rsid w:val="60410E69"/>
    <w:rsid w:val="60412D3D"/>
    <w:rsid w:val="60490BA1"/>
    <w:rsid w:val="604C4C15"/>
    <w:rsid w:val="605465F7"/>
    <w:rsid w:val="60552E09"/>
    <w:rsid w:val="60560F69"/>
    <w:rsid w:val="605916E7"/>
    <w:rsid w:val="60596586"/>
    <w:rsid w:val="60636E33"/>
    <w:rsid w:val="607A6903"/>
    <w:rsid w:val="607E2A76"/>
    <w:rsid w:val="608B0ED4"/>
    <w:rsid w:val="608E6871"/>
    <w:rsid w:val="608F2EEC"/>
    <w:rsid w:val="609376AD"/>
    <w:rsid w:val="609F689E"/>
    <w:rsid w:val="60A308D4"/>
    <w:rsid w:val="60C16F3B"/>
    <w:rsid w:val="60C83CA1"/>
    <w:rsid w:val="60CF2884"/>
    <w:rsid w:val="60D422A0"/>
    <w:rsid w:val="60D6645F"/>
    <w:rsid w:val="60E10F00"/>
    <w:rsid w:val="60E1122B"/>
    <w:rsid w:val="60E26B05"/>
    <w:rsid w:val="60E6145D"/>
    <w:rsid w:val="60E965FE"/>
    <w:rsid w:val="60EA3E67"/>
    <w:rsid w:val="60EB65C9"/>
    <w:rsid w:val="60EC7C7E"/>
    <w:rsid w:val="60FB7668"/>
    <w:rsid w:val="60FC55D0"/>
    <w:rsid w:val="60FC72A6"/>
    <w:rsid w:val="61052119"/>
    <w:rsid w:val="61070989"/>
    <w:rsid w:val="610F79CC"/>
    <w:rsid w:val="611A38B2"/>
    <w:rsid w:val="611B495F"/>
    <w:rsid w:val="612527CE"/>
    <w:rsid w:val="61290CBF"/>
    <w:rsid w:val="613C6FAA"/>
    <w:rsid w:val="614004BB"/>
    <w:rsid w:val="61556812"/>
    <w:rsid w:val="61664BE1"/>
    <w:rsid w:val="616A4972"/>
    <w:rsid w:val="616E3F0A"/>
    <w:rsid w:val="61716E68"/>
    <w:rsid w:val="61755A98"/>
    <w:rsid w:val="61826F0E"/>
    <w:rsid w:val="61861069"/>
    <w:rsid w:val="61953CA0"/>
    <w:rsid w:val="619F7DF1"/>
    <w:rsid w:val="61A019F3"/>
    <w:rsid w:val="61A07B55"/>
    <w:rsid w:val="61A4514F"/>
    <w:rsid w:val="61A527DB"/>
    <w:rsid w:val="61AA5908"/>
    <w:rsid w:val="61B675FF"/>
    <w:rsid w:val="61B9288B"/>
    <w:rsid w:val="61BB2F40"/>
    <w:rsid w:val="61C6559F"/>
    <w:rsid w:val="61C9634D"/>
    <w:rsid w:val="61D56313"/>
    <w:rsid w:val="61DE66FD"/>
    <w:rsid w:val="61E007AE"/>
    <w:rsid w:val="61E138C1"/>
    <w:rsid w:val="61F367B2"/>
    <w:rsid w:val="61F81E07"/>
    <w:rsid w:val="620D55C1"/>
    <w:rsid w:val="621574BF"/>
    <w:rsid w:val="621602F2"/>
    <w:rsid w:val="621D1F96"/>
    <w:rsid w:val="622178EB"/>
    <w:rsid w:val="623531CA"/>
    <w:rsid w:val="62371FD9"/>
    <w:rsid w:val="62372377"/>
    <w:rsid w:val="623B3850"/>
    <w:rsid w:val="623E4142"/>
    <w:rsid w:val="624327CD"/>
    <w:rsid w:val="6245767E"/>
    <w:rsid w:val="624B7A4D"/>
    <w:rsid w:val="624D1464"/>
    <w:rsid w:val="624D2BC7"/>
    <w:rsid w:val="624D66B5"/>
    <w:rsid w:val="625020B7"/>
    <w:rsid w:val="625115B6"/>
    <w:rsid w:val="626339DC"/>
    <w:rsid w:val="62634C8F"/>
    <w:rsid w:val="62641BFE"/>
    <w:rsid w:val="627168E2"/>
    <w:rsid w:val="627369C4"/>
    <w:rsid w:val="62741B9E"/>
    <w:rsid w:val="62762D50"/>
    <w:rsid w:val="62784F4A"/>
    <w:rsid w:val="627D2B0F"/>
    <w:rsid w:val="62836F74"/>
    <w:rsid w:val="628767CC"/>
    <w:rsid w:val="62886FC2"/>
    <w:rsid w:val="62892B5F"/>
    <w:rsid w:val="628D7D23"/>
    <w:rsid w:val="628E5D0F"/>
    <w:rsid w:val="629165D6"/>
    <w:rsid w:val="62940DB0"/>
    <w:rsid w:val="629F71A6"/>
    <w:rsid w:val="62A93BDD"/>
    <w:rsid w:val="62B152E8"/>
    <w:rsid w:val="62B526D6"/>
    <w:rsid w:val="62B667E6"/>
    <w:rsid w:val="62BF272C"/>
    <w:rsid w:val="62C443C5"/>
    <w:rsid w:val="62CA2935"/>
    <w:rsid w:val="62CB39F6"/>
    <w:rsid w:val="62D6725F"/>
    <w:rsid w:val="62DA1415"/>
    <w:rsid w:val="62DD6F2A"/>
    <w:rsid w:val="62E37B44"/>
    <w:rsid w:val="62E44652"/>
    <w:rsid w:val="62E852F4"/>
    <w:rsid w:val="62E90BE3"/>
    <w:rsid w:val="62E93557"/>
    <w:rsid w:val="62EB5DE6"/>
    <w:rsid w:val="62EC2B88"/>
    <w:rsid w:val="62EC5612"/>
    <w:rsid w:val="62ED1BC6"/>
    <w:rsid w:val="62ED33A3"/>
    <w:rsid w:val="63035C1A"/>
    <w:rsid w:val="630F25BC"/>
    <w:rsid w:val="630F6278"/>
    <w:rsid w:val="6311035B"/>
    <w:rsid w:val="63130AF8"/>
    <w:rsid w:val="63156ABF"/>
    <w:rsid w:val="63231947"/>
    <w:rsid w:val="632C1441"/>
    <w:rsid w:val="6330344D"/>
    <w:rsid w:val="63334E3E"/>
    <w:rsid w:val="63354E11"/>
    <w:rsid w:val="63363827"/>
    <w:rsid w:val="633A7931"/>
    <w:rsid w:val="633C7E8E"/>
    <w:rsid w:val="633F5A81"/>
    <w:rsid w:val="6341298D"/>
    <w:rsid w:val="634408A5"/>
    <w:rsid w:val="63474B4C"/>
    <w:rsid w:val="634857A2"/>
    <w:rsid w:val="634B789F"/>
    <w:rsid w:val="634E1186"/>
    <w:rsid w:val="63562FAA"/>
    <w:rsid w:val="63584CCB"/>
    <w:rsid w:val="635B098E"/>
    <w:rsid w:val="635D6DCF"/>
    <w:rsid w:val="63616A89"/>
    <w:rsid w:val="63655728"/>
    <w:rsid w:val="636A3CBA"/>
    <w:rsid w:val="636E44AC"/>
    <w:rsid w:val="6370272D"/>
    <w:rsid w:val="63764A9F"/>
    <w:rsid w:val="63793EA2"/>
    <w:rsid w:val="638549A6"/>
    <w:rsid w:val="63855016"/>
    <w:rsid w:val="63912D37"/>
    <w:rsid w:val="63A0274D"/>
    <w:rsid w:val="63A15CC9"/>
    <w:rsid w:val="63A85ADE"/>
    <w:rsid w:val="63AC1313"/>
    <w:rsid w:val="63AD551A"/>
    <w:rsid w:val="63B24807"/>
    <w:rsid w:val="63D23D7B"/>
    <w:rsid w:val="63D405FA"/>
    <w:rsid w:val="63D443E6"/>
    <w:rsid w:val="63DB1AE7"/>
    <w:rsid w:val="63DC4E53"/>
    <w:rsid w:val="63DF5A32"/>
    <w:rsid w:val="63DF6137"/>
    <w:rsid w:val="6401719D"/>
    <w:rsid w:val="640F3228"/>
    <w:rsid w:val="64141869"/>
    <w:rsid w:val="64166079"/>
    <w:rsid w:val="642C1EE6"/>
    <w:rsid w:val="64327F6D"/>
    <w:rsid w:val="64350AE2"/>
    <w:rsid w:val="643F716E"/>
    <w:rsid w:val="643F7FFB"/>
    <w:rsid w:val="64401A84"/>
    <w:rsid w:val="644049D3"/>
    <w:rsid w:val="64526662"/>
    <w:rsid w:val="64527992"/>
    <w:rsid w:val="64611819"/>
    <w:rsid w:val="646128C9"/>
    <w:rsid w:val="6462481D"/>
    <w:rsid w:val="64666993"/>
    <w:rsid w:val="646F722A"/>
    <w:rsid w:val="64797BA8"/>
    <w:rsid w:val="64820376"/>
    <w:rsid w:val="64822BA4"/>
    <w:rsid w:val="64825E61"/>
    <w:rsid w:val="64911000"/>
    <w:rsid w:val="64A03BC0"/>
    <w:rsid w:val="64A14C1E"/>
    <w:rsid w:val="64A775A2"/>
    <w:rsid w:val="64B149F6"/>
    <w:rsid w:val="64CA1ABF"/>
    <w:rsid w:val="64D80854"/>
    <w:rsid w:val="64D831EE"/>
    <w:rsid w:val="64DA00D0"/>
    <w:rsid w:val="64DE6189"/>
    <w:rsid w:val="64E113AF"/>
    <w:rsid w:val="64F47A26"/>
    <w:rsid w:val="64FA1069"/>
    <w:rsid w:val="650A1DE6"/>
    <w:rsid w:val="650F563E"/>
    <w:rsid w:val="65104404"/>
    <w:rsid w:val="65110D57"/>
    <w:rsid w:val="65134C39"/>
    <w:rsid w:val="6521520C"/>
    <w:rsid w:val="65217A97"/>
    <w:rsid w:val="65264CBD"/>
    <w:rsid w:val="65394772"/>
    <w:rsid w:val="6542246D"/>
    <w:rsid w:val="65443B3C"/>
    <w:rsid w:val="65472B98"/>
    <w:rsid w:val="65513065"/>
    <w:rsid w:val="65516212"/>
    <w:rsid w:val="6559705D"/>
    <w:rsid w:val="655E64B8"/>
    <w:rsid w:val="65605EC7"/>
    <w:rsid w:val="656D2DF0"/>
    <w:rsid w:val="656D3292"/>
    <w:rsid w:val="657753AD"/>
    <w:rsid w:val="657B33A1"/>
    <w:rsid w:val="6589050A"/>
    <w:rsid w:val="65981B5D"/>
    <w:rsid w:val="65A829E5"/>
    <w:rsid w:val="65A93DB5"/>
    <w:rsid w:val="65AF71D8"/>
    <w:rsid w:val="65B04687"/>
    <w:rsid w:val="65B259AD"/>
    <w:rsid w:val="65B34445"/>
    <w:rsid w:val="65BF7FA2"/>
    <w:rsid w:val="65C35796"/>
    <w:rsid w:val="65C40705"/>
    <w:rsid w:val="65C826A8"/>
    <w:rsid w:val="65C92840"/>
    <w:rsid w:val="65D40637"/>
    <w:rsid w:val="65D97E5D"/>
    <w:rsid w:val="65E31C0C"/>
    <w:rsid w:val="65E74614"/>
    <w:rsid w:val="65EB2AC0"/>
    <w:rsid w:val="65F97545"/>
    <w:rsid w:val="65FC1F86"/>
    <w:rsid w:val="660A4B53"/>
    <w:rsid w:val="660E31CF"/>
    <w:rsid w:val="660F1F1A"/>
    <w:rsid w:val="661257C6"/>
    <w:rsid w:val="661E038F"/>
    <w:rsid w:val="66221598"/>
    <w:rsid w:val="662A64A6"/>
    <w:rsid w:val="662B4636"/>
    <w:rsid w:val="662D6AFD"/>
    <w:rsid w:val="662E625F"/>
    <w:rsid w:val="66327A4C"/>
    <w:rsid w:val="6635049E"/>
    <w:rsid w:val="663F017E"/>
    <w:rsid w:val="663F4AB7"/>
    <w:rsid w:val="66457DC8"/>
    <w:rsid w:val="66461AFB"/>
    <w:rsid w:val="6646395A"/>
    <w:rsid w:val="66510F62"/>
    <w:rsid w:val="66567EE2"/>
    <w:rsid w:val="66593BF8"/>
    <w:rsid w:val="665946C3"/>
    <w:rsid w:val="6660229D"/>
    <w:rsid w:val="66634CEC"/>
    <w:rsid w:val="66674C80"/>
    <w:rsid w:val="666E1E91"/>
    <w:rsid w:val="667154E4"/>
    <w:rsid w:val="667B4119"/>
    <w:rsid w:val="667D5A03"/>
    <w:rsid w:val="667F61C0"/>
    <w:rsid w:val="66893489"/>
    <w:rsid w:val="668A688B"/>
    <w:rsid w:val="66914AF8"/>
    <w:rsid w:val="669713A4"/>
    <w:rsid w:val="66A374B1"/>
    <w:rsid w:val="66A57ADD"/>
    <w:rsid w:val="66B0107A"/>
    <w:rsid w:val="66B07211"/>
    <w:rsid w:val="66C01989"/>
    <w:rsid w:val="66C01FFF"/>
    <w:rsid w:val="66C2244F"/>
    <w:rsid w:val="66CB1A13"/>
    <w:rsid w:val="66CF7B64"/>
    <w:rsid w:val="66D05CE6"/>
    <w:rsid w:val="66DA35EF"/>
    <w:rsid w:val="66E23147"/>
    <w:rsid w:val="66E80097"/>
    <w:rsid w:val="66E979FF"/>
    <w:rsid w:val="66EA3CAB"/>
    <w:rsid w:val="66EC749B"/>
    <w:rsid w:val="66F60961"/>
    <w:rsid w:val="66FE2892"/>
    <w:rsid w:val="67015348"/>
    <w:rsid w:val="670433AC"/>
    <w:rsid w:val="6706508F"/>
    <w:rsid w:val="670E6CBE"/>
    <w:rsid w:val="67110686"/>
    <w:rsid w:val="671241D1"/>
    <w:rsid w:val="67192B0C"/>
    <w:rsid w:val="671B77C6"/>
    <w:rsid w:val="671F2376"/>
    <w:rsid w:val="67240CB1"/>
    <w:rsid w:val="67272BE8"/>
    <w:rsid w:val="672F460B"/>
    <w:rsid w:val="67324B9B"/>
    <w:rsid w:val="673506BA"/>
    <w:rsid w:val="67391372"/>
    <w:rsid w:val="6747218F"/>
    <w:rsid w:val="674833CE"/>
    <w:rsid w:val="675023DD"/>
    <w:rsid w:val="67511123"/>
    <w:rsid w:val="67512483"/>
    <w:rsid w:val="6760070C"/>
    <w:rsid w:val="67606F78"/>
    <w:rsid w:val="676D0357"/>
    <w:rsid w:val="677802B1"/>
    <w:rsid w:val="677B2A6C"/>
    <w:rsid w:val="677C350F"/>
    <w:rsid w:val="677D1F61"/>
    <w:rsid w:val="678409C5"/>
    <w:rsid w:val="6785772A"/>
    <w:rsid w:val="679426EF"/>
    <w:rsid w:val="67971C5C"/>
    <w:rsid w:val="679840FE"/>
    <w:rsid w:val="679D38A7"/>
    <w:rsid w:val="679E3803"/>
    <w:rsid w:val="67A115B1"/>
    <w:rsid w:val="67A4540E"/>
    <w:rsid w:val="67A72290"/>
    <w:rsid w:val="67A804DD"/>
    <w:rsid w:val="67AB0A41"/>
    <w:rsid w:val="67AF1230"/>
    <w:rsid w:val="67AF28C7"/>
    <w:rsid w:val="67CA0D4A"/>
    <w:rsid w:val="67D36E2F"/>
    <w:rsid w:val="67D46406"/>
    <w:rsid w:val="67D5017D"/>
    <w:rsid w:val="67D84C7E"/>
    <w:rsid w:val="67D86476"/>
    <w:rsid w:val="67E400AE"/>
    <w:rsid w:val="67E85AA3"/>
    <w:rsid w:val="67EB7ECA"/>
    <w:rsid w:val="67ED75D1"/>
    <w:rsid w:val="67EE3A24"/>
    <w:rsid w:val="67F847FF"/>
    <w:rsid w:val="67FC52EA"/>
    <w:rsid w:val="67FE288E"/>
    <w:rsid w:val="67FE74A2"/>
    <w:rsid w:val="680022A8"/>
    <w:rsid w:val="68006691"/>
    <w:rsid w:val="6806492C"/>
    <w:rsid w:val="68176F07"/>
    <w:rsid w:val="681F247B"/>
    <w:rsid w:val="68592BA2"/>
    <w:rsid w:val="685A54E2"/>
    <w:rsid w:val="685C087D"/>
    <w:rsid w:val="685D610F"/>
    <w:rsid w:val="685E6283"/>
    <w:rsid w:val="686660CE"/>
    <w:rsid w:val="686A02A3"/>
    <w:rsid w:val="686D2FA1"/>
    <w:rsid w:val="68702E98"/>
    <w:rsid w:val="688B1136"/>
    <w:rsid w:val="68942067"/>
    <w:rsid w:val="689955E3"/>
    <w:rsid w:val="689F2DCC"/>
    <w:rsid w:val="689F3BB7"/>
    <w:rsid w:val="68AF32BE"/>
    <w:rsid w:val="68B251B2"/>
    <w:rsid w:val="68B711D6"/>
    <w:rsid w:val="68B81DD1"/>
    <w:rsid w:val="68C94E37"/>
    <w:rsid w:val="68D36E92"/>
    <w:rsid w:val="68E27A86"/>
    <w:rsid w:val="68E73E4E"/>
    <w:rsid w:val="68EF6857"/>
    <w:rsid w:val="68F916F9"/>
    <w:rsid w:val="68F965D1"/>
    <w:rsid w:val="68FE7A59"/>
    <w:rsid w:val="690037B1"/>
    <w:rsid w:val="69011750"/>
    <w:rsid w:val="69046F0A"/>
    <w:rsid w:val="69070235"/>
    <w:rsid w:val="690F5B20"/>
    <w:rsid w:val="69135944"/>
    <w:rsid w:val="69142024"/>
    <w:rsid w:val="69171912"/>
    <w:rsid w:val="69192862"/>
    <w:rsid w:val="691973C7"/>
    <w:rsid w:val="691C2C88"/>
    <w:rsid w:val="691E2C25"/>
    <w:rsid w:val="691E3299"/>
    <w:rsid w:val="69262FE5"/>
    <w:rsid w:val="69293CBE"/>
    <w:rsid w:val="692A1A5F"/>
    <w:rsid w:val="69322D39"/>
    <w:rsid w:val="69323AF9"/>
    <w:rsid w:val="693A3DAD"/>
    <w:rsid w:val="693F6105"/>
    <w:rsid w:val="69457758"/>
    <w:rsid w:val="694E68CB"/>
    <w:rsid w:val="69536B1E"/>
    <w:rsid w:val="69580163"/>
    <w:rsid w:val="695E784F"/>
    <w:rsid w:val="69614DEF"/>
    <w:rsid w:val="69623A3D"/>
    <w:rsid w:val="696302D6"/>
    <w:rsid w:val="696A27E9"/>
    <w:rsid w:val="697A7E71"/>
    <w:rsid w:val="697B0DA2"/>
    <w:rsid w:val="699008A3"/>
    <w:rsid w:val="699E602F"/>
    <w:rsid w:val="69A1678E"/>
    <w:rsid w:val="69AE58B4"/>
    <w:rsid w:val="69AF0830"/>
    <w:rsid w:val="69B01209"/>
    <w:rsid w:val="69B26F69"/>
    <w:rsid w:val="69BB7C4F"/>
    <w:rsid w:val="69BC45B2"/>
    <w:rsid w:val="69C05E78"/>
    <w:rsid w:val="69C06859"/>
    <w:rsid w:val="69C20E6A"/>
    <w:rsid w:val="69CA5C0B"/>
    <w:rsid w:val="69CD2849"/>
    <w:rsid w:val="69D12944"/>
    <w:rsid w:val="69D34772"/>
    <w:rsid w:val="69E66DC4"/>
    <w:rsid w:val="69EF392A"/>
    <w:rsid w:val="69F13DD2"/>
    <w:rsid w:val="69F41BB1"/>
    <w:rsid w:val="69F62987"/>
    <w:rsid w:val="69F8203A"/>
    <w:rsid w:val="6A060A1F"/>
    <w:rsid w:val="6A066607"/>
    <w:rsid w:val="6A0A34C2"/>
    <w:rsid w:val="6A0E002F"/>
    <w:rsid w:val="6A184189"/>
    <w:rsid w:val="6A1B7D52"/>
    <w:rsid w:val="6A216C19"/>
    <w:rsid w:val="6A246A40"/>
    <w:rsid w:val="6A2652AE"/>
    <w:rsid w:val="6A2A02CC"/>
    <w:rsid w:val="6A3044EA"/>
    <w:rsid w:val="6A3D241D"/>
    <w:rsid w:val="6A3D7B02"/>
    <w:rsid w:val="6A413EF9"/>
    <w:rsid w:val="6A471B15"/>
    <w:rsid w:val="6A4C46E0"/>
    <w:rsid w:val="6A58777E"/>
    <w:rsid w:val="6A5D7B83"/>
    <w:rsid w:val="6A615D26"/>
    <w:rsid w:val="6A632129"/>
    <w:rsid w:val="6A633DDF"/>
    <w:rsid w:val="6A73445D"/>
    <w:rsid w:val="6A751A73"/>
    <w:rsid w:val="6A78210C"/>
    <w:rsid w:val="6A7A3403"/>
    <w:rsid w:val="6A7B57F2"/>
    <w:rsid w:val="6A8D6670"/>
    <w:rsid w:val="6A923535"/>
    <w:rsid w:val="6AA14EF2"/>
    <w:rsid w:val="6AA703F7"/>
    <w:rsid w:val="6AAB7DF4"/>
    <w:rsid w:val="6AAC10E1"/>
    <w:rsid w:val="6AAE3021"/>
    <w:rsid w:val="6AB5544C"/>
    <w:rsid w:val="6ABC2C6E"/>
    <w:rsid w:val="6ABE5AE3"/>
    <w:rsid w:val="6AC43ADC"/>
    <w:rsid w:val="6ACB05EE"/>
    <w:rsid w:val="6AD62A51"/>
    <w:rsid w:val="6AD65C96"/>
    <w:rsid w:val="6AD76D8A"/>
    <w:rsid w:val="6ADA7083"/>
    <w:rsid w:val="6ADB3DBE"/>
    <w:rsid w:val="6ADC0EBE"/>
    <w:rsid w:val="6AE845EB"/>
    <w:rsid w:val="6AE91B08"/>
    <w:rsid w:val="6AE91BF8"/>
    <w:rsid w:val="6AE9482F"/>
    <w:rsid w:val="6AEA3F25"/>
    <w:rsid w:val="6AF37D29"/>
    <w:rsid w:val="6AFB11A8"/>
    <w:rsid w:val="6AFC210B"/>
    <w:rsid w:val="6B003D41"/>
    <w:rsid w:val="6B074ED1"/>
    <w:rsid w:val="6B1278F5"/>
    <w:rsid w:val="6B143D50"/>
    <w:rsid w:val="6B1B6C93"/>
    <w:rsid w:val="6B1C55D9"/>
    <w:rsid w:val="6B1D53B0"/>
    <w:rsid w:val="6B2142BC"/>
    <w:rsid w:val="6B294E4E"/>
    <w:rsid w:val="6B2A5F96"/>
    <w:rsid w:val="6B301B7D"/>
    <w:rsid w:val="6B362B30"/>
    <w:rsid w:val="6B380244"/>
    <w:rsid w:val="6B560E7C"/>
    <w:rsid w:val="6B5919C6"/>
    <w:rsid w:val="6B62070F"/>
    <w:rsid w:val="6B6D6743"/>
    <w:rsid w:val="6B6E30CE"/>
    <w:rsid w:val="6B715F58"/>
    <w:rsid w:val="6B7951BE"/>
    <w:rsid w:val="6B7D491C"/>
    <w:rsid w:val="6B842FF4"/>
    <w:rsid w:val="6B863C88"/>
    <w:rsid w:val="6B8B7217"/>
    <w:rsid w:val="6B917DD2"/>
    <w:rsid w:val="6B9612D0"/>
    <w:rsid w:val="6B9767A7"/>
    <w:rsid w:val="6BA812F1"/>
    <w:rsid w:val="6BB57E3F"/>
    <w:rsid w:val="6BB6157B"/>
    <w:rsid w:val="6BC1708E"/>
    <w:rsid w:val="6BD414AF"/>
    <w:rsid w:val="6BDA450B"/>
    <w:rsid w:val="6BE150E1"/>
    <w:rsid w:val="6BE4546C"/>
    <w:rsid w:val="6BE6319A"/>
    <w:rsid w:val="6BEA6C25"/>
    <w:rsid w:val="6BF50F97"/>
    <w:rsid w:val="6BFC7436"/>
    <w:rsid w:val="6BFFB8FE"/>
    <w:rsid w:val="6C000E51"/>
    <w:rsid w:val="6C01647C"/>
    <w:rsid w:val="6C02029B"/>
    <w:rsid w:val="6C0C7FB9"/>
    <w:rsid w:val="6C115836"/>
    <w:rsid w:val="6C180682"/>
    <w:rsid w:val="6C1D7A77"/>
    <w:rsid w:val="6C2A057F"/>
    <w:rsid w:val="6C2A7881"/>
    <w:rsid w:val="6C312647"/>
    <w:rsid w:val="6C322D49"/>
    <w:rsid w:val="6C3A38F0"/>
    <w:rsid w:val="6C3A6745"/>
    <w:rsid w:val="6C443196"/>
    <w:rsid w:val="6C52286A"/>
    <w:rsid w:val="6C5F28A4"/>
    <w:rsid w:val="6C6C3888"/>
    <w:rsid w:val="6C6C6468"/>
    <w:rsid w:val="6C6E1B2C"/>
    <w:rsid w:val="6C731D84"/>
    <w:rsid w:val="6C733306"/>
    <w:rsid w:val="6C7872A2"/>
    <w:rsid w:val="6C7C1743"/>
    <w:rsid w:val="6C7F13BC"/>
    <w:rsid w:val="6C807E57"/>
    <w:rsid w:val="6C8A1DE9"/>
    <w:rsid w:val="6C94585C"/>
    <w:rsid w:val="6C9C4171"/>
    <w:rsid w:val="6CBA3B06"/>
    <w:rsid w:val="6CBD6A88"/>
    <w:rsid w:val="6CC438F6"/>
    <w:rsid w:val="6CC546A3"/>
    <w:rsid w:val="6CC73B77"/>
    <w:rsid w:val="6CCA062C"/>
    <w:rsid w:val="6CCE3F0D"/>
    <w:rsid w:val="6CCE5F93"/>
    <w:rsid w:val="6CD204DE"/>
    <w:rsid w:val="6CE06DC3"/>
    <w:rsid w:val="6CE339A2"/>
    <w:rsid w:val="6CE86255"/>
    <w:rsid w:val="6CEF63F7"/>
    <w:rsid w:val="6CF23D4D"/>
    <w:rsid w:val="6CFB6774"/>
    <w:rsid w:val="6D081C8D"/>
    <w:rsid w:val="6D093EB3"/>
    <w:rsid w:val="6D131FC5"/>
    <w:rsid w:val="6D1645C1"/>
    <w:rsid w:val="6D1C0F73"/>
    <w:rsid w:val="6D1E6E2A"/>
    <w:rsid w:val="6D1F6F3D"/>
    <w:rsid w:val="6D282813"/>
    <w:rsid w:val="6D2D6300"/>
    <w:rsid w:val="6D32180C"/>
    <w:rsid w:val="6D327CC1"/>
    <w:rsid w:val="6D501A86"/>
    <w:rsid w:val="6D5F55CE"/>
    <w:rsid w:val="6D6607CF"/>
    <w:rsid w:val="6D674987"/>
    <w:rsid w:val="6D6D4EC9"/>
    <w:rsid w:val="6D73549B"/>
    <w:rsid w:val="6D745AC5"/>
    <w:rsid w:val="6D7A3884"/>
    <w:rsid w:val="6D805B9C"/>
    <w:rsid w:val="6D814F22"/>
    <w:rsid w:val="6D8A3B82"/>
    <w:rsid w:val="6D8A3D7B"/>
    <w:rsid w:val="6D8B775C"/>
    <w:rsid w:val="6D93141B"/>
    <w:rsid w:val="6D945A55"/>
    <w:rsid w:val="6D973F8E"/>
    <w:rsid w:val="6D9A5172"/>
    <w:rsid w:val="6D9F02A8"/>
    <w:rsid w:val="6DA53B3D"/>
    <w:rsid w:val="6DAC3244"/>
    <w:rsid w:val="6DB23350"/>
    <w:rsid w:val="6DB4285B"/>
    <w:rsid w:val="6DB84421"/>
    <w:rsid w:val="6DB96B83"/>
    <w:rsid w:val="6DC00174"/>
    <w:rsid w:val="6DC73C6C"/>
    <w:rsid w:val="6DCA454F"/>
    <w:rsid w:val="6DCC7E9E"/>
    <w:rsid w:val="6DCD65B3"/>
    <w:rsid w:val="6DCE233F"/>
    <w:rsid w:val="6DCE34F8"/>
    <w:rsid w:val="6DD7247F"/>
    <w:rsid w:val="6DE3232F"/>
    <w:rsid w:val="6DE35FB1"/>
    <w:rsid w:val="6DEE319B"/>
    <w:rsid w:val="6DF93F1E"/>
    <w:rsid w:val="6DF97E79"/>
    <w:rsid w:val="6DFA0EDB"/>
    <w:rsid w:val="6DFE0285"/>
    <w:rsid w:val="6DFE1AB0"/>
    <w:rsid w:val="6E014E53"/>
    <w:rsid w:val="6E016618"/>
    <w:rsid w:val="6E0750CC"/>
    <w:rsid w:val="6E086826"/>
    <w:rsid w:val="6E0920FE"/>
    <w:rsid w:val="6E2E2E54"/>
    <w:rsid w:val="6E311775"/>
    <w:rsid w:val="6E451684"/>
    <w:rsid w:val="6E4C1D06"/>
    <w:rsid w:val="6E4D5278"/>
    <w:rsid w:val="6E4F0C35"/>
    <w:rsid w:val="6E5556FA"/>
    <w:rsid w:val="6E5B2DC6"/>
    <w:rsid w:val="6E620301"/>
    <w:rsid w:val="6E664051"/>
    <w:rsid w:val="6E681E77"/>
    <w:rsid w:val="6E6D3D63"/>
    <w:rsid w:val="6E6F6C81"/>
    <w:rsid w:val="6E780992"/>
    <w:rsid w:val="6E796E6F"/>
    <w:rsid w:val="6E7D2BC3"/>
    <w:rsid w:val="6E823F2B"/>
    <w:rsid w:val="6E85241B"/>
    <w:rsid w:val="6E872FCF"/>
    <w:rsid w:val="6EA57A74"/>
    <w:rsid w:val="6EA633B4"/>
    <w:rsid w:val="6EA9580D"/>
    <w:rsid w:val="6EAA76BD"/>
    <w:rsid w:val="6EAB170F"/>
    <w:rsid w:val="6EB0142D"/>
    <w:rsid w:val="6EB0440B"/>
    <w:rsid w:val="6EB446FC"/>
    <w:rsid w:val="6EC07F8A"/>
    <w:rsid w:val="6EC454DE"/>
    <w:rsid w:val="6EC60E8B"/>
    <w:rsid w:val="6EC85F52"/>
    <w:rsid w:val="6ECC520B"/>
    <w:rsid w:val="6ECF3B67"/>
    <w:rsid w:val="6ED90606"/>
    <w:rsid w:val="6ED95D03"/>
    <w:rsid w:val="6ED96561"/>
    <w:rsid w:val="6EE12250"/>
    <w:rsid w:val="6EE52D27"/>
    <w:rsid w:val="6EE96347"/>
    <w:rsid w:val="6EF307F8"/>
    <w:rsid w:val="6EFA61AC"/>
    <w:rsid w:val="6EFC58B0"/>
    <w:rsid w:val="6EFF73EE"/>
    <w:rsid w:val="6F051B51"/>
    <w:rsid w:val="6F076E12"/>
    <w:rsid w:val="6F0C26C5"/>
    <w:rsid w:val="6F102F1B"/>
    <w:rsid w:val="6F355481"/>
    <w:rsid w:val="6F3562FB"/>
    <w:rsid w:val="6F390AC5"/>
    <w:rsid w:val="6F3913B1"/>
    <w:rsid w:val="6F395667"/>
    <w:rsid w:val="6F3D1807"/>
    <w:rsid w:val="6F3E6C99"/>
    <w:rsid w:val="6F41690B"/>
    <w:rsid w:val="6F471A1C"/>
    <w:rsid w:val="6F4E4F48"/>
    <w:rsid w:val="6F521363"/>
    <w:rsid w:val="6F57066C"/>
    <w:rsid w:val="6F593D48"/>
    <w:rsid w:val="6F664391"/>
    <w:rsid w:val="6F6976CC"/>
    <w:rsid w:val="6F6A03E0"/>
    <w:rsid w:val="6F6C7A57"/>
    <w:rsid w:val="6F6E10DE"/>
    <w:rsid w:val="6F755B99"/>
    <w:rsid w:val="6F781D53"/>
    <w:rsid w:val="6F8559CC"/>
    <w:rsid w:val="6F873327"/>
    <w:rsid w:val="6F8844C0"/>
    <w:rsid w:val="6F8A7A1C"/>
    <w:rsid w:val="6F9641C9"/>
    <w:rsid w:val="6FA678B3"/>
    <w:rsid w:val="6FBB16F9"/>
    <w:rsid w:val="6FC450E1"/>
    <w:rsid w:val="6FC542E5"/>
    <w:rsid w:val="6FCE2733"/>
    <w:rsid w:val="6FCF1F97"/>
    <w:rsid w:val="6FDA2E0A"/>
    <w:rsid w:val="6FF8053C"/>
    <w:rsid w:val="6FFA1B91"/>
    <w:rsid w:val="7008719E"/>
    <w:rsid w:val="702A42F3"/>
    <w:rsid w:val="70342925"/>
    <w:rsid w:val="70387D64"/>
    <w:rsid w:val="70391EB4"/>
    <w:rsid w:val="703D41DB"/>
    <w:rsid w:val="7048070F"/>
    <w:rsid w:val="704A4152"/>
    <w:rsid w:val="704A73A6"/>
    <w:rsid w:val="704A7A1C"/>
    <w:rsid w:val="704F58DA"/>
    <w:rsid w:val="70531554"/>
    <w:rsid w:val="705362D1"/>
    <w:rsid w:val="705B19B1"/>
    <w:rsid w:val="705B2443"/>
    <w:rsid w:val="70630F31"/>
    <w:rsid w:val="706324D3"/>
    <w:rsid w:val="70640A9F"/>
    <w:rsid w:val="7068250D"/>
    <w:rsid w:val="706C03CE"/>
    <w:rsid w:val="707851E9"/>
    <w:rsid w:val="707E52C8"/>
    <w:rsid w:val="7083264D"/>
    <w:rsid w:val="708C0D28"/>
    <w:rsid w:val="708C4D6A"/>
    <w:rsid w:val="70951787"/>
    <w:rsid w:val="709A241F"/>
    <w:rsid w:val="70A238E6"/>
    <w:rsid w:val="70AC25D6"/>
    <w:rsid w:val="70AD0CF6"/>
    <w:rsid w:val="70AD2596"/>
    <w:rsid w:val="70BB2B9F"/>
    <w:rsid w:val="70D37B6E"/>
    <w:rsid w:val="70E738B9"/>
    <w:rsid w:val="70E76F8A"/>
    <w:rsid w:val="70E77ACE"/>
    <w:rsid w:val="70EC6B30"/>
    <w:rsid w:val="70F4785D"/>
    <w:rsid w:val="71001C9E"/>
    <w:rsid w:val="71050E29"/>
    <w:rsid w:val="71071B55"/>
    <w:rsid w:val="71077AA0"/>
    <w:rsid w:val="710964DA"/>
    <w:rsid w:val="710B4D56"/>
    <w:rsid w:val="711546AA"/>
    <w:rsid w:val="711B14F5"/>
    <w:rsid w:val="71265794"/>
    <w:rsid w:val="71357666"/>
    <w:rsid w:val="71375DB5"/>
    <w:rsid w:val="71472EBB"/>
    <w:rsid w:val="71501D66"/>
    <w:rsid w:val="71680DBE"/>
    <w:rsid w:val="7177457A"/>
    <w:rsid w:val="717B62B7"/>
    <w:rsid w:val="717D482D"/>
    <w:rsid w:val="718123AC"/>
    <w:rsid w:val="71A80E34"/>
    <w:rsid w:val="71AA7DEB"/>
    <w:rsid w:val="71AC689B"/>
    <w:rsid w:val="71AC79AC"/>
    <w:rsid w:val="71AE0CF1"/>
    <w:rsid w:val="71B93C05"/>
    <w:rsid w:val="71B954A8"/>
    <w:rsid w:val="71BA5E6D"/>
    <w:rsid w:val="71C257D3"/>
    <w:rsid w:val="71C90892"/>
    <w:rsid w:val="71CC4E11"/>
    <w:rsid w:val="71CE03C7"/>
    <w:rsid w:val="71CF3F70"/>
    <w:rsid w:val="71D25B47"/>
    <w:rsid w:val="71DA0488"/>
    <w:rsid w:val="71DD2F89"/>
    <w:rsid w:val="71E8697A"/>
    <w:rsid w:val="71EC6591"/>
    <w:rsid w:val="71ED3BAD"/>
    <w:rsid w:val="71ED57E1"/>
    <w:rsid w:val="71F15473"/>
    <w:rsid w:val="71F16CB2"/>
    <w:rsid w:val="71F639C8"/>
    <w:rsid w:val="71F76C2D"/>
    <w:rsid w:val="7204521C"/>
    <w:rsid w:val="720E32FD"/>
    <w:rsid w:val="720F6C9A"/>
    <w:rsid w:val="72140F1D"/>
    <w:rsid w:val="721A7E2E"/>
    <w:rsid w:val="722F397D"/>
    <w:rsid w:val="72347DE3"/>
    <w:rsid w:val="724841DA"/>
    <w:rsid w:val="72632393"/>
    <w:rsid w:val="72671CED"/>
    <w:rsid w:val="72777DE6"/>
    <w:rsid w:val="7279062F"/>
    <w:rsid w:val="727C172C"/>
    <w:rsid w:val="727C5B27"/>
    <w:rsid w:val="7280632A"/>
    <w:rsid w:val="72847BA4"/>
    <w:rsid w:val="72891E2D"/>
    <w:rsid w:val="7292279B"/>
    <w:rsid w:val="72942DB3"/>
    <w:rsid w:val="729A51AB"/>
    <w:rsid w:val="729E5E40"/>
    <w:rsid w:val="72A64380"/>
    <w:rsid w:val="72A72050"/>
    <w:rsid w:val="72B062D1"/>
    <w:rsid w:val="72B16CF3"/>
    <w:rsid w:val="72B90DB5"/>
    <w:rsid w:val="72BB0B49"/>
    <w:rsid w:val="72C326B1"/>
    <w:rsid w:val="72C5771B"/>
    <w:rsid w:val="72CA33A9"/>
    <w:rsid w:val="72D249BA"/>
    <w:rsid w:val="72DB675D"/>
    <w:rsid w:val="72E12E2C"/>
    <w:rsid w:val="72E721B7"/>
    <w:rsid w:val="72EB05F6"/>
    <w:rsid w:val="72F154BC"/>
    <w:rsid w:val="72F300B2"/>
    <w:rsid w:val="72F814B5"/>
    <w:rsid w:val="72FC6892"/>
    <w:rsid w:val="730218E9"/>
    <w:rsid w:val="7302267B"/>
    <w:rsid w:val="73023F2E"/>
    <w:rsid w:val="730910EE"/>
    <w:rsid w:val="73100D98"/>
    <w:rsid w:val="7316615E"/>
    <w:rsid w:val="73181BF9"/>
    <w:rsid w:val="731C37CD"/>
    <w:rsid w:val="731C7C59"/>
    <w:rsid w:val="732700BD"/>
    <w:rsid w:val="73276B64"/>
    <w:rsid w:val="732C5E46"/>
    <w:rsid w:val="73364BE7"/>
    <w:rsid w:val="733B0149"/>
    <w:rsid w:val="73404AB7"/>
    <w:rsid w:val="7343306D"/>
    <w:rsid w:val="73462D4C"/>
    <w:rsid w:val="735F2E72"/>
    <w:rsid w:val="73614DD7"/>
    <w:rsid w:val="736157B6"/>
    <w:rsid w:val="73623C26"/>
    <w:rsid w:val="73630C84"/>
    <w:rsid w:val="73634BC8"/>
    <w:rsid w:val="73657405"/>
    <w:rsid w:val="73690E78"/>
    <w:rsid w:val="736B2D54"/>
    <w:rsid w:val="73753833"/>
    <w:rsid w:val="73786F95"/>
    <w:rsid w:val="73795D1C"/>
    <w:rsid w:val="737E34F1"/>
    <w:rsid w:val="73801C47"/>
    <w:rsid w:val="7391534C"/>
    <w:rsid w:val="73980C67"/>
    <w:rsid w:val="739D12CC"/>
    <w:rsid w:val="73A057F9"/>
    <w:rsid w:val="73A111F3"/>
    <w:rsid w:val="73A51B7B"/>
    <w:rsid w:val="73A9576B"/>
    <w:rsid w:val="73AA0B61"/>
    <w:rsid w:val="73AE539D"/>
    <w:rsid w:val="73B66CA7"/>
    <w:rsid w:val="73B80618"/>
    <w:rsid w:val="73BD77E3"/>
    <w:rsid w:val="73DE6BD2"/>
    <w:rsid w:val="73E52803"/>
    <w:rsid w:val="73EB4EF9"/>
    <w:rsid w:val="73FB3EC2"/>
    <w:rsid w:val="73FF47E5"/>
    <w:rsid w:val="7400038C"/>
    <w:rsid w:val="7402772A"/>
    <w:rsid w:val="740F18B5"/>
    <w:rsid w:val="74152A5D"/>
    <w:rsid w:val="74170877"/>
    <w:rsid w:val="74175314"/>
    <w:rsid w:val="741F03BA"/>
    <w:rsid w:val="74200C22"/>
    <w:rsid w:val="74217723"/>
    <w:rsid w:val="74225935"/>
    <w:rsid w:val="743240B4"/>
    <w:rsid w:val="74334048"/>
    <w:rsid w:val="74375C8B"/>
    <w:rsid w:val="743D270E"/>
    <w:rsid w:val="743D7E72"/>
    <w:rsid w:val="74456C9C"/>
    <w:rsid w:val="74484F13"/>
    <w:rsid w:val="74514747"/>
    <w:rsid w:val="74560A9F"/>
    <w:rsid w:val="745633A6"/>
    <w:rsid w:val="74577FD3"/>
    <w:rsid w:val="745F236F"/>
    <w:rsid w:val="746412A6"/>
    <w:rsid w:val="74674023"/>
    <w:rsid w:val="746F78F9"/>
    <w:rsid w:val="74781F1F"/>
    <w:rsid w:val="748441D1"/>
    <w:rsid w:val="7490763F"/>
    <w:rsid w:val="74911568"/>
    <w:rsid w:val="74A5247E"/>
    <w:rsid w:val="74A57477"/>
    <w:rsid w:val="74AE1A17"/>
    <w:rsid w:val="74C26FEA"/>
    <w:rsid w:val="74C36794"/>
    <w:rsid w:val="74C55CA3"/>
    <w:rsid w:val="74C8562C"/>
    <w:rsid w:val="74C962DF"/>
    <w:rsid w:val="74DD616A"/>
    <w:rsid w:val="74E15A93"/>
    <w:rsid w:val="74E24539"/>
    <w:rsid w:val="74E27CE2"/>
    <w:rsid w:val="74E4002C"/>
    <w:rsid w:val="74EF1651"/>
    <w:rsid w:val="74F14189"/>
    <w:rsid w:val="74F43D32"/>
    <w:rsid w:val="74FD65E5"/>
    <w:rsid w:val="75032A03"/>
    <w:rsid w:val="750758DC"/>
    <w:rsid w:val="750C0B98"/>
    <w:rsid w:val="75137DD8"/>
    <w:rsid w:val="75190674"/>
    <w:rsid w:val="751969B6"/>
    <w:rsid w:val="752131A0"/>
    <w:rsid w:val="75223087"/>
    <w:rsid w:val="752825DA"/>
    <w:rsid w:val="753A479D"/>
    <w:rsid w:val="753D6449"/>
    <w:rsid w:val="753E50FC"/>
    <w:rsid w:val="75463F71"/>
    <w:rsid w:val="754764D8"/>
    <w:rsid w:val="75490868"/>
    <w:rsid w:val="75490BDF"/>
    <w:rsid w:val="75492356"/>
    <w:rsid w:val="754B159F"/>
    <w:rsid w:val="754E4D98"/>
    <w:rsid w:val="755C2D00"/>
    <w:rsid w:val="756D2A3F"/>
    <w:rsid w:val="75773B59"/>
    <w:rsid w:val="757B248B"/>
    <w:rsid w:val="757D637E"/>
    <w:rsid w:val="757F06EF"/>
    <w:rsid w:val="75820452"/>
    <w:rsid w:val="75830E43"/>
    <w:rsid w:val="758F7BAA"/>
    <w:rsid w:val="7597048C"/>
    <w:rsid w:val="759A1347"/>
    <w:rsid w:val="759B1048"/>
    <w:rsid w:val="759C20E0"/>
    <w:rsid w:val="75A07BB8"/>
    <w:rsid w:val="75A351E7"/>
    <w:rsid w:val="75A45611"/>
    <w:rsid w:val="75AD0846"/>
    <w:rsid w:val="75B17C55"/>
    <w:rsid w:val="75B73A3A"/>
    <w:rsid w:val="75BE093A"/>
    <w:rsid w:val="75C91F52"/>
    <w:rsid w:val="75CA512F"/>
    <w:rsid w:val="75CA6A9D"/>
    <w:rsid w:val="75CB213C"/>
    <w:rsid w:val="75D04988"/>
    <w:rsid w:val="75D169F2"/>
    <w:rsid w:val="75DA3017"/>
    <w:rsid w:val="75E5061B"/>
    <w:rsid w:val="75F30609"/>
    <w:rsid w:val="75F659FB"/>
    <w:rsid w:val="75F801C6"/>
    <w:rsid w:val="75FA2D4B"/>
    <w:rsid w:val="75FE4C42"/>
    <w:rsid w:val="7600622D"/>
    <w:rsid w:val="760B3462"/>
    <w:rsid w:val="7612090A"/>
    <w:rsid w:val="76132F32"/>
    <w:rsid w:val="76171428"/>
    <w:rsid w:val="76195B01"/>
    <w:rsid w:val="7620009B"/>
    <w:rsid w:val="7620142D"/>
    <w:rsid w:val="762D5EA3"/>
    <w:rsid w:val="762E4078"/>
    <w:rsid w:val="76377578"/>
    <w:rsid w:val="763C0EF2"/>
    <w:rsid w:val="76494305"/>
    <w:rsid w:val="765716B2"/>
    <w:rsid w:val="76577F14"/>
    <w:rsid w:val="765B2136"/>
    <w:rsid w:val="765C109D"/>
    <w:rsid w:val="7666096B"/>
    <w:rsid w:val="766E48CE"/>
    <w:rsid w:val="767900A1"/>
    <w:rsid w:val="76791797"/>
    <w:rsid w:val="767B5782"/>
    <w:rsid w:val="76856806"/>
    <w:rsid w:val="76860152"/>
    <w:rsid w:val="768710EB"/>
    <w:rsid w:val="769833EA"/>
    <w:rsid w:val="76984F50"/>
    <w:rsid w:val="76A75E72"/>
    <w:rsid w:val="76A80F6F"/>
    <w:rsid w:val="76A968FF"/>
    <w:rsid w:val="76BC61DB"/>
    <w:rsid w:val="76C571F0"/>
    <w:rsid w:val="76C65C81"/>
    <w:rsid w:val="76CB1018"/>
    <w:rsid w:val="76CE15D0"/>
    <w:rsid w:val="76CF530A"/>
    <w:rsid w:val="76D02166"/>
    <w:rsid w:val="76DF65FF"/>
    <w:rsid w:val="76F253E9"/>
    <w:rsid w:val="76FC5255"/>
    <w:rsid w:val="770233F4"/>
    <w:rsid w:val="7707136F"/>
    <w:rsid w:val="770A60CC"/>
    <w:rsid w:val="770C5619"/>
    <w:rsid w:val="770F57E4"/>
    <w:rsid w:val="771130B4"/>
    <w:rsid w:val="77120FC4"/>
    <w:rsid w:val="771543E5"/>
    <w:rsid w:val="77196E50"/>
    <w:rsid w:val="77267708"/>
    <w:rsid w:val="77290ADE"/>
    <w:rsid w:val="773336A0"/>
    <w:rsid w:val="774744C2"/>
    <w:rsid w:val="77476107"/>
    <w:rsid w:val="774B3405"/>
    <w:rsid w:val="774E0FD7"/>
    <w:rsid w:val="7754071C"/>
    <w:rsid w:val="77647C38"/>
    <w:rsid w:val="77680A0D"/>
    <w:rsid w:val="77682348"/>
    <w:rsid w:val="77682605"/>
    <w:rsid w:val="776A5D8D"/>
    <w:rsid w:val="77721A98"/>
    <w:rsid w:val="77785B72"/>
    <w:rsid w:val="77798267"/>
    <w:rsid w:val="778371CA"/>
    <w:rsid w:val="77881C45"/>
    <w:rsid w:val="778D4F61"/>
    <w:rsid w:val="77943FD5"/>
    <w:rsid w:val="77A51CC2"/>
    <w:rsid w:val="77A71D59"/>
    <w:rsid w:val="77AF30B7"/>
    <w:rsid w:val="77B54AEF"/>
    <w:rsid w:val="77BA18BD"/>
    <w:rsid w:val="77BC1236"/>
    <w:rsid w:val="77C532EC"/>
    <w:rsid w:val="77CB0FE0"/>
    <w:rsid w:val="77D10F12"/>
    <w:rsid w:val="77D86FAA"/>
    <w:rsid w:val="77E35495"/>
    <w:rsid w:val="77E724D3"/>
    <w:rsid w:val="77EB55EE"/>
    <w:rsid w:val="77EC7C1F"/>
    <w:rsid w:val="77F27908"/>
    <w:rsid w:val="77F31815"/>
    <w:rsid w:val="77F64760"/>
    <w:rsid w:val="77FC3AA9"/>
    <w:rsid w:val="77FE1C97"/>
    <w:rsid w:val="77FF0B95"/>
    <w:rsid w:val="780E100B"/>
    <w:rsid w:val="7819458F"/>
    <w:rsid w:val="781C4351"/>
    <w:rsid w:val="78234AA9"/>
    <w:rsid w:val="782E504D"/>
    <w:rsid w:val="783C0755"/>
    <w:rsid w:val="783C3444"/>
    <w:rsid w:val="78486477"/>
    <w:rsid w:val="78545D38"/>
    <w:rsid w:val="786017A5"/>
    <w:rsid w:val="786313DC"/>
    <w:rsid w:val="78634497"/>
    <w:rsid w:val="786A5BCC"/>
    <w:rsid w:val="786A7019"/>
    <w:rsid w:val="787443B8"/>
    <w:rsid w:val="787D3D53"/>
    <w:rsid w:val="78883832"/>
    <w:rsid w:val="789B2BCF"/>
    <w:rsid w:val="78A0407E"/>
    <w:rsid w:val="78A12A4C"/>
    <w:rsid w:val="78A22983"/>
    <w:rsid w:val="78A37658"/>
    <w:rsid w:val="78A40D76"/>
    <w:rsid w:val="78AA20DD"/>
    <w:rsid w:val="78B423D6"/>
    <w:rsid w:val="78BE72D2"/>
    <w:rsid w:val="78C01739"/>
    <w:rsid w:val="78C84230"/>
    <w:rsid w:val="78C9656E"/>
    <w:rsid w:val="78DA2DBA"/>
    <w:rsid w:val="78DC1A48"/>
    <w:rsid w:val="78DC4F27"/>
    <w:rsid w:val="78DE7BD8"/>
    <w:rsid w:val="78DF5206"/>
    <w:rsid w:val="78DF6082"/>
    <w:rsid w:val="78E315F5"/>
    <w:rsid w:val="78E9618E"/>
    <w:rsid w:val="78EC1F1A"/>
    <w:rsid w:val="78EE408E"/>
    <w:rsid w:val="78F5390D"/>
    <w:rsid w:val="78FF225E"/>
    <w:rsid w:val="791527B6"/>
    <w:rsid w:val="791D6E20"/>
    <w:rsid w:val="791F487C"/>
    <w:rsid w:val="792928D1"/>
    <w:rsid w:val="79325864"/>
    <w:rsid w:val="793C6559"/>
    <w:rsid w:val="793E416C"/>
    <w:rsid w:val="79404A55"/>
    <w:rsid w:val="79430300"/>
    <w:rsid w:val="794509BA"/>
    <w:rsid w:val="79527F70"/>
    <w:rsid w:val="795A11B6"/>
    <w:rsid w:val="795F2F5B"/>
    <w:rsid w:val="79607951"/>
    <w:rsid w:val="79611838"/>
    <w:rsid w:val="7965220F"/>
    <w:rsid w:val="796E0A82"/>
    <w:rsid w:val="797058AF"/>
    <w:rsid w:val="79705F29"/>
    <w:rsid w:val="797F1CE5"/>
    <w:rsid w:val="798563B8"/>
    <w:rsid w:val="79880B32"/>
    <w:rsid w:val="799072A0"/>
    <w:rsid w:val="79992904"/>
    <w:rsid w:val="79A079E8"/>
    <w:rsid w:val="79A50FC3"/>
    <w:rsid w:val="79B24354"/>
    <w:rsid w:val="79B658FA"/>
    <w:rsid w:val="79BF0D07"/>
    <w:rsid w:val="79C163FD"/>
    <w:rsid w:val="79C30335"/>
    <w:rsid w:val="79C74384"/>
    <w:rsid w:val="79CA79DF"/>
    <w:rsid w:val="79CD4A13"/>
    <w:rsid w:val="79D00CCD"/>
    <w:rsid w:val="79D14FBB"/>
    <w:rsid w:val="79D34CDA"/>
    <w:rsid w:val="79F304D9"/>
    <w:rsid w:val="79F3605F"/>
    <w:rsid w:val="79F91206"/>
    <w:rsid w:val="7A0215E0"/>
    <w:rsid w:val="7A034392"/>
    <w:rsid w:val="7A044DA6"/>
    <w:rsid w:val="7A0E5ED1"/>
    <w:rsid w:val="7A1C0C2A"/>
    <w:rsid w:val="7A203314"/>
    <w:rsid w:val="7A206562"/>
    <w:rsid w:val="7A24233C"/>
    <w:rsid w:val="7A3F4508"/>
    <w:rsid w:val="7A4460A3"/>
    <w:rsid w:val="7A4E35D9"/>
    <w:rsid w:val="7A4E7808"/>
    <w:rsid w:val="7A505549"/>
    <w:rsid w:val="7A506C70"/>
    <w:rsid w:val="7A584A11"/>
    <w:rsid w:val="7A5A3E2C"/>
    <w:rsid w:val="7A60373A"/>
    <w:rsid w:val="7A646C95"/>
    <w:rsid w:val="7A662F5D"/>
    <w:rsid w:val="7A6661B0"/>
    <w:rsid w:val="7A6F39B3"/>
    <w:rsid w:val="7A731BF2"/>
    <w:rsid w:val="7A776D36"/>
    <w:rsid w:val="7A7A445B"/>
    <w:rsid w:val="7A80200C"/>
    <w:rsid w:val="7A9602E2"/>
    <w:rsid w:val="7A980B63"/>
    <w:rsid w:val="7A9B3893"/>
    <w:rsid w:val="7AA2464C"/>
    <w:rsid w:val="7AA50EE9"/>
    <w:rsid w:val="7AB23BE2"/>
    <w:rsid w:val="7AB51D48"/>
    <w:rsid w:val="7ABC1735"/>
    <w:rsid w:val="7ABE149B"/>
    <w:rsid w:val="7AC4271B"/>
    <w:rsid w:val="7AC73C27"/>
    <w:rsid w:val="7AC94B34"/>
    <w:rsid w:val="7AD406D8"/>
    <w:rsid w:val="7AD6280A"/>
    <w:rsid w:val="7ADD6549"/>
    <w:rsid w:val="7ADF69F3"/>
    <w:rsid w:val="7AFD3528"/>
    <w:rsid w:val="7B014194"/>
    <w:rsid w:val="7B061E67"/>
    <w:rsid w:val="7B183350"/>
    <w:rsid w:val="7B1F6721"/>
    <w:rsid w:val="7B275C40"/>
    <w:rsid w:val="7B3108F2"/>
    <w:rsid w:val="7B313A9D"/>
    <w:rsid w:val="7B315E89"/>
    <w:rsid w:val="7B372CE3"/>
    <w:rsid w:val="7B3D1B68"/>
    <w:rsid w:val="7B3F209B"/>
    <w:rsid w:val="7B401B7D"/>
    <w:rsid w:val="7B402BCA"/>
    <w:rsid w:val="7B46654B"/>
    <w:rsid w:val="7B497575"/>
    <w:rsid w:val="7B4A4B8D"/>
    <w:rsid w:val="7B5832CA"/>
    <w:rsid w:val="7B584572"/>
    <w:rsid w:val="7B584E65"/>
    <w:rsid w:val="7B6133CA"/>
    <w:rsid w:val="7B667C3C"/>
    <w:rsid w:val="7B695A5F"/>
    <w:rsid w:val="7B6A7A1F"/>
    <w:rsid w:val="7B6C1D20"/>
    <w:rsid w:val="7B715B31"/>
    <w:rsid w:val="7B721EB2"/>
    <w:rsid w:val="7B727361"/>
    <w:rsid w:val="7B7C1355"/>
    <w:rsid w:val="7B812D70"/>
    <w:rsid w:val="7B833FED"/>
    <w:rsid w:val="7B8B35C8"/>
    <w:rsid w:val="7B9130F2"/>
    <w:rsid w:val="7B9312C6"/>
    <w:rsid w:val="7B945706"/>
    <w:rsid w:val="7B963C99"/>
    <w:rsid w:val="7BA055C4"/>
    <w:rsid w:val="7BA3607B"/>
    <w:rsid w:val="7BA60D93"/>
    <w:rsid w:val="7BA65420"/>
    <w:rsid w:val="7BA95F17"/>
    <w:rsid w:val="7BAA19F1"/>
    <w:rsid w:val="7BAE3737"/>
    <w:rsid w:val="7BB0599B"/>
    <w:rsid w:val="7BBC1DB3"/>
    <w:rsid w:val="7BBF2534"/>
    <w:rsid w:val="7BCD68EB"/>
    <w:rsid w:val="7BCE04E4"/>
    <w:rsid w:val="7BD65065"/>
    <w:rsid w:val="7BD71CC1"/>
    <w:rsid w:val="7BD71D5E"/>
    <w:rsid w:val="7BDD14AD"/>
    <w:rsid w:val="7BEB68FE"/>
    <w:rsid w:val="7BEC2168"/>
    <w:rsid w:val="7BED2991"/>
    <w:rsid w:val="7BEF2135"/>
    <w:rsid w:val="7BF30794"/>
    <w:rsid w:val="7BF509FA"/>
    <w:rsid w:val="7BF90C42"/>
    <w:rsid w:val="7BF96E23"/>
    <w:rsid w:val="7BFF1184"/>
    <w:rsid w:val="7C004DD8"/>
    <w:rsid w:val="7C0433BF"/>
    <w:rsid w:val="7C080F38"/>
    <w:rsid w:val="7C096930"/>
    <w:rsid w:val="7C143FBD"/>
    <w:rsid w:val="7C15073F"/>
    <w:rsid w:val="7C1B0EBC"/>
    <w:rsid w:val="7C1E2712"/>
    <w:rsid w:val="7C1F2CE9"/>
    <w:rsid w:val="7C203D0C"/>
    <w:rsid w:val="7C2C6444"/>
    <w:rsid w:val="7C2E2D5E"/>
    <w:rsid w:val="7C367CBF"/>
    <w:rsid w:val="7C404C1D"/>
    <w:rsid w:val="7C4E2D3B"/>
    <w:rsid w:val="7C5412B5"/>
    <w:rsid w:val="7C54596F"/>
    <w:rsid w:val="7C5F0164"/>
    <w:rsid w:val="7C682403"/>
    <w:rsid w:val="7C691AD3"/>
    <w:rsid w:val="7C756877"/>
    <w:rsid w:val="7C806E49"/>
    <w:rsid w:val="7C871388"/>
    <w:rsid w:val="7C8E710A"/>
    <w:rsid w:val="7C906148"/>
    <w:rsid w:val="7C9A0776"/>
    <w:rsid w:val="7C9C1CAE"/>
    <w:rsid w:val="7C9C4506"/>
    <w:rsid w:val="7CA5179F"/>
    <w:rsid w:val="7CA62470"/>
    <w:rsid w:val="7CA82280"/>
    <w:rsid w:val="7CA92598"/>
    <w:rsid w:val="7CAA01B3"/>
    <w:rsid w:val="7CAC5978"/>
    <w:rsid w:val="7CAD11D7"/>
    <w:rsid w:val="7CBA46A9"/>
    <w:rsid w:val="7CBE6989"/>
    <w:rsid w:val="7CBF6652"/>
    <w:rsid w:val="7CC61BCD"/>
    <w:rsid w:val="7CD712E1"/>
    <w:rsid w:val="7CD774BC"/>
    <w:rsid w:val="7CDA3FFD"/>
    <w:rsid w:val="7CDB0F75"/>
    <w:rsid w:val="7CE45A09"/>
    <w:rsid w:val="7CE63BF6"/>
    <w:rsid w:val="7CE70D71"/>
    <w:rsid w:val="7CEA21B3"/>
    <w:rsid w:val="7CEB72AF"/>
    <w:rsid w:val="7CEC46DF"/>
    <w:rsid w:val="7CF4229A"/>
    <w:rsid w:val="7CFE2CA6"/>
    <w:rsid w:val="7D0C1B5E"/>
    <w:rsid w:val="7D0D546A"/>
    <w:rsid w:val="7D145CAB"/>
    <w:rsid w:val="7D1B28F9"/>
    <w:rsid w:val="7D216923"/>
    <w:rsid w:val="7D2357E1"/>
    <w:rsid w:val="7D277CDB"/>
    <w:rsid w:val="7D2B388B"/>
    <w:rsid w:val="7D302357"/>
    <w:rsid w:val="7D321A41"/>
    <w:rsid w:val="7D356301"/>
    <w:rsid w:val="7D3956CF"/>
    <w:rsid w:val="7D3B137F"/>
    <w:rsid w:val="7D3F20B7"/>
    <w:rsid w:val="7D4105F6"/>
    <w:rsid w:val="7D416E33"/>
    <w:rsid w:val="7D461622"/>
    <w:rsid w:val="7D4A7CAF"/>
    <w:rsid w:val="7D4C6496"/>
    <w:rsid w:val="7D5676D2"/>
    <w:rsid w:val="7D5A3176"/>
    <w:rsid w:val="7D5D6A38"/>
    <w:rsid w:val="7D5F684E"/>
    <w:rsid w:val="7D643462"/>
    <w:rsid w:val="7D6A19D4"/>
    <w:rsid w:val="7D755AD9"/>
    <w:rsid w:val="7D7B1151"/>
    <w:rsid w:val="7D7E3AF2"/>
    <w:rsid w:val="7D8342C7"/>
    <w:rsid w:val="7D8364A8"/>
    <w:rsid w:val="7D844785"/>
    <w:rsid w:val="7D8939A9"/>
    <w:rsid w:val="7D8E0538"/>
    <w:rsid w:val="7D9101EC"/>
    <w:rsid w:val="7D93021D"/>
    <w:rsid w:val="7D9609AF"/>
    <w:rsid w:val="7DA34448"/>
    <w:rsid w:val="7DA823F0"/>
    <w:rsid w:val="7DA93E30"/>
    <w:rsid w:val="7DB91582"/>
    <w:rsid w:val="7DBB703E"/>
    <w:rsid w:val="7DC00942"/>
    <w:rsid w:val="7DC43581"/>
    <w:rsid w:val="7DC5171B"/>
    <w:rsid w:val="7DC91378"/>
    <w:rsid w:val="7DD132AF"/>
    <w:rsid w:val="7DD478D1"/>
    <w:rsid w:val="7DE03835"/>
    <w:rsid w:val="7DE379FE"/>
    <w:rsid w:val="7DE736AD"/>
    <w:rsid w:val="7DE8451A"/>
    <w:rsid w:val="7DE957B0"/>
    <w:rsid w:val="7DEB416F"/>
    <w:rsid w:val="7DF538A6"/>
    <w:rsid w:val="7DF71B8E"/>
    <w:rsid w:val="7DF72344"/>
    <w:rsid w:val="7E030D32"/>
    <w:rsid w:val="7E04766B"/>
    <w:rsid w:val="7E097E6D"/>
    <w:rsid w:val="7E0F758E"/>
    <w:rsid w:val="7E1211BB"/>
    <w:rsid w:val="7E140FEC"/>
    <w:rsid w:val="7E174435"/>
    <w:rsid w:val="7E182CDE"/>
    <w:rsid w:val="7E1B2016"/>
    <w:rsid w:val="7E2567DA"/>
    <w:rsid w:val="7E2A76BB"/>
    <w:rsid w:val="7E2F5C2F"/>
    <w:rsid w:val="7E3C2A73"/>
    <w:rsid w:val="7E3C37FB"/>
    <w:rsid w:val="7E417769"/>
    <w:rsid w:val="7E446190"/>
    <w:rsid w:val="7E4751B1"/>
    <w:rsid w:val="7E4A52A6"/>
    <w:rsid w:val="7E4A58F2"/>
    <w:rsid w:val="7E4C35AA"/>
    <w:rsid w:val="7E5811EA"/>
    <w:rsid w:val="7E5B631A"/>
    <w:rsid w:val="7E5C294A"/>
    <w:rsid w:val="7E5F78E3"/>
    <w:rsid w:val="7E637D45"/>
    <w:rsid w:val="7E7A19D0"/>
    <w:rsid w:val="7E804A41"/>
    <w:rsid w:val="7E8A1881"/>
    <w:rsid w:val="7E9C1BCA"/>
    <w:rsid w:val="7EA1444D"/>
    <w:rsid w:val="7EAA0D34"/>
    <w:rsid w:val="7EAC4720"/>
    <w:rsid w:val="7EAD0480"/>
    <w:rsid w:val="7EB103DA"/>
    <w:rsid w:val="7EB5169E"/>
    <w:rsid w:val="7EB96705"/>
    <w:rsid w:val="7EBB18E3"/>
    <w:rsid w:val="7EBD210F"/>
    <w:rsid w:val="7EBF4D33"/>
    <w:rsid w:val="7EC26987"/>
    <w:rsid w:val="7EC90E64"/>
    <w:rsid w:val="7ECA31A0"/>
    <w:rsid w:val="7ECB4027"/>
    <w:rsid w:val="7ECC4048"/>
    <w:rsid w:val="7ED33CE4"/>
    <w:rsid w:val="7ED40266"/>
    <w:rsid w:val="7ED553AA"/>
    <w:rsid w:val="7ED96211"/>
    <w:rsid w:val="7ED9790E"/>
    <w:rsid w:val="7EEF0363"/>
    <w:rsid w:val="7EEF39E7"/>
    <w:rsid w:val="7EF259C7"/>
    <w:rsid w:val="7EF914E8"/>
    <w:rsid w:val="7EFB724F"/>
    <w:rsid w:val="7EFC5B20"/>
    <w:rsid w:val="7EFD4155"/>
    <w:rsid w:val="7EFF691C"/>
    <w:rsid w:val="7F0960D6"/>
    <w:rsid w:val="7F1A0AED"/>
    <w:rsid w:val="7F1A4419"/>
    <w:rsid w:val="7F1F2C47"/>
    <w:rsid w:val="7F21427B"/>
    <w:rsid w:val="7F243B1D"/>
    <w:rsid w:val="7F27530C"/>
    <w:rsid w:val="7F293CAD"/>
    <w:rsid w:val="7F2E10D2"/>
    <w:rsid w:val="7F3A703D"/>
    <w:rsid w:val="7F3B0006"/>
    <w:rsid w:val="7F4512FC"/>
    <w:rsid w:val="7F4751A0"/>
    <w:rsid w:val="7F497E38"/>
    <w:rsid w:val="7F4D7EC3"/>
    <w:rsid w:val="7F53007C"/>
    <w:rsid w:val="7F586112"/>
    <w:rsid w:val="7F5E2231"/>
    <w:rsid w:val="7F5E5C1D"/>
    <w:rsid w:val="7F600095"/>
    <w:rsid w:val="7F632D3A"/>
    <w:rsid w:val="7F677FED"/>
    <w:rsid w:val="7F723928"/>
    <w:rsid w:val="7F790549"/>
    <w:rsid w:val="7F7F7F02"/>
    <w:rsid w:val="7F836AEF"/>
    <w:rsid w:val="7F8B6F40"/>
    <w:rsid w:val="7F8C232E"/>
    <w:rsid w:val="7F976C2B"/>
    <w:rsid w:val="7F983C1A"/>
    <w:rsid w:val="7F9C5501"/>
    <w:rsid w:val="7F9D699D"/>
    <w:rsid w:val="7F9E7832"/>
    <w:rsid w:val="7FA32DE1"/>
    <w:rsid w:val="7FB569C4"/>
    <w:rsid w:val="7FC022D5"/>
    <w:rsid w:val="7FC21030"/>
    <w:rsid w:val="7FC91B24"/>
    <w:rsid w:val="7FCB6FF2"/>
    <w:rsid w:val="7FCF63AD"/>
    <w:rsid w:val="7FD036D7"/>
    <w:rsid w:val="7FD167EA"/>
    <w:rsid w:val="7FD54EF5"/>
    <w:rsid w:val="7FD721C8"/>
    <w:rsid w:val="7FDC5F62"/>
    <w:rsid w:val="7FDC77D4"/>
    <w:rsid w:val="7FE108B0"/>
    <w:rsid w:val="7FE5436A"/>
    <w:rsid w:val="7FE72878"/>
    <w:rsid w:val="7FF42995"/>
    <w:rsid w:val="7FFB028F"/>
    <w:rsid w:val="D51AC0E0"/>
    <w:rsid w:val="F77D6ABC"/>
    <w:rsid w:val="FEDDCD5D"/>
    <w:rsid w:val="FFF73555"/>
    <w:rsid w:val="FFFF9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iPriority="99" w:name="List Bullet 3"/>
    <w:lsdException w:uiPriority="99" w:name="List Bullet 4"/>
    <w:lsdException w:uiPriority="99" w:name="List Bullet 5"/>
    <w:lsdException w:qFormat="1"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8"/>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7"/>
    <w:autoRedefine/>
    <w:semiHidden/>
    <w:unhideWhenUsed/>
    <w:qFormat/>
    <w:uiPriority w:val="9"/>
    <w:pPr>
      <w:keepNext/>
      <w:keepLines/>
      <w:numPr>
        <w:ilvl w:val="2"/>
        <w:numId w:val="1"/>
      </w:numPr>
      <w:spacing w:before="260" w:after="260" w:line="412" w:lineRule="auto"/>
      <w:outlineLvl w:val="2"/>
    </w:pPr>
    <w:rPr>
      <w:rFonts w:ascii="Times New Roman" w:hAnsi="Times New Roman" w:eastAsia="宋体" w:cs="Times New Roman"/>
      <w:b/>
      <w:bCs/>
      <w:sz w:val="32"/>
      <w:szCs w:val="32"/>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List Number 2"/>
    <w:basedOn w:val="1"/>
    <w:autoRedefine/>
    <w:semiHidden/>
    <w:unhideWhenUsed/>
    <w:qFormat/>
    <w:uiPriority w:val="99"/>
    <w:pPr>
      <w:tabs>
        <w:tab w:val="left" w:pos="780"/>
      </w:tabs>
      <w:spacing w:line="360" w:lineRule="auto"/>
      <w:ind w:left="902" w:hanging="420"/>
    </w:pPr>
    <w:rPr>
      <w:rFonts w:ascii="Times New Roman" w:hAnsi="Times New Roman" w:eastAsia="宋体" w:cs="Times New Roman"/>
      <w:sz w:val="24"/>
      <w:szCs w:val="20"/>
    </w:rPr>
  </w:style>
  <w:style w:type="paragraph" w:styleId="6">
    <w:name w:val="Normal Indent"/>
    <w:basedOn w:val="1"/>
    <w:autoRedefine/>
    <w:qFormat/>
    <w:uiPriority w:val="0"/>
    <w:pPr>
      <w:ind w:firstLine="420"/>
    </w:pPr>
    <w:rPr>
      <w:rFonts w:ascii="Times New Roman" w:hAnsi="Times New Roman" w:eastAsia="宋体" w:cs="Times New Roman"/>
      <w:szCs w:val="20"/>
    </w:rPr>
  </w:style>
  <w:style w:type="paragraph" w:styleId="7">
    <w:name w:val="Document Map"/>
    <w:basedOn w:val="1"/>
    <w:link w:val="104"/>
    <w:autoRedefine/>
    <w:semiHidden/>
    <w:unhideWhenUsed/>
    <w:qFormat/>
    <w:uiPriority w:val="99"/>
    <w:pPr>
      <w:shd w:val="clear" w:color="auto" w:fill="000080"/>
    </w:pPr>
  </w:style>
  <w:style w:type="paragraph" w:styleId="8">
    <w:name w:val="annotation text"/>
    <w:basedOn w:val="1"/>
    <w:link w:val="71"/>
    <w:autoRedefine/>
    <w:qFormat/>
    <w:uiPriority w:val="99"/>
    <w:pPr>
      <w:jc w:val="left"/>
    </w:pPr>
    <w:rPr>
      <w:rFonts w:ascii="Times New Roman" w:hAnsi="Times New Roman" w:eastAsia="宋体" w:cs="Times New Roman"/>
      <w:szCs w:val="20"/>
    </w:rPr>
  </w:style>
  <w:style w:type="paragraph" w:styleId="9">
    <w:name w:val="Body Text 3"/>
    <w:basedOn w:val="1"/>
    <w:link w:val="48"/>
    <w:autoRedefine/>
    <w:qFormat/>
    <w:uiPriority w:val="0"/>
    <w:pPr>
      <w:spacing w:after="120"/>
    </w:pPr>
    <w:rPr>
      <w:rFonts w:ascii="Times New Roman" w:hAnsi="Times New Roman" w:eastAsia="宋体" w:cs="Times New Roman"/>
      <w:sz w:val="16"/>
      <w:szCs w:val="16"/>
    </w:rPr>
  </w:style>
  <w:style w:type="paragraph" w:styleId="10">
    <w:name w:val="List Bullet 3"/>
    <w:basedOn w:val="1"/>
    <w:autoRedefine/>
    <w:semiHidden/>
    <w:unhideWhenUsed/>
    <w:qFormat/>
    <w:uiPriority w:val="99"/>
    <w:pPr>
      <w:tabs>
        <w:tab w:val="left" w:pos="780"/>
      </w:tabs>
      <w:spacing w:line="360" w:lineRule="auto"/>
      <w:ind w:left="902" w:hanging="420"/>
    </w:pPr>
    <w:rPr>
      <w:rFonts w:ascii="Times New Roman" w:hAnsi="Times New Roman" w:eastAsia="宋体" w:cs="Times New Roman"/>
      <w:sz w:val="24"/>
      <w:szCs w:val="20"/>
    </w:rPr>
  </w:style>
  <w:style w:type="paragraph" w:styleId="11">
    <w:name w:val="Body Text"/>
    <w:basedOn w:val="1"/>
    <w:link w:val="51"/>
    <w:autoRedefine/>
    <w:unhideWhenUsed/>
    <w:qFormat/>
    <w:uiPriority w:val="99"/>
    <w:pPr>
      <w:spacing w:after="120"/>
    </w:pPr>
  </w:style>
  <w:style w:type="paragraph" w:styleId="12">
    <w:name w:val="Body Text Indent"/>
    <w:basedOn w:val="1"/>
    <w:next w:val="13"/>
    <w:link w:val="41"/>
    <w:autoRedefine/>
    <w:qFormat/>
    <w:uiPriority w:val="0"/>
    <w:pPr>
      <w:autoSpaceDE w:val="0"/>
      <w:autoSpaceDN w:val="0"/>
      <w:adjustRightInd w:val="0"/>
      <w:spacing w:after="120" w:line="360" w:lineRule="atLeast"/>
      <w:ind w:left="900"/>
    </w:pPr>
    <w:rPr>
      <w:rFonts w:ascii="楷体_GB2312" w:hAnsi="Times New Roman" w:eastAsia="楷体_GB2312" w:cs="Times New Roman"/>
      <w:kern w:val="0"/>
      <w:sz w:val="28"/>
      <w:szCs w:val="20"/>
    </w:rPr>
  </w:style>
  <w:style w:type="paragraph" w:styleId="13">
    <w:name w:val="envelope return"/>
    <w:basedOn w:val="1"/>
    <w:qFormat/>
    <w:uiPriority w:val="0"/>
    <w:rPr>
      <w:rFonts w:ascii="Arial" w:hAnsi="Arial"/>
    </w:rPr>
  </w:style>
  <w:style w:type="paragraph" w:styleId="14">
    <w:name w:val="index 4"/>
    <w:basedOn w:val="1"/>
    <w:next w:val="1"/>
    <w:autoRedefine/>
    <w:semiHidden/>
    <w:unhideWhenUsed/>
    <w:qFormat/>
    <w:uiPriority w:val="99"/>
    <w:pPr>
      <w:ind w:left="600" w:leftChars="600"/>
    </w:pPr>
  </w:style>
  <w:style w:type="paragraph" w:styleId="15">
    <w:name w:val="toc 3"/>
    <w:basedOn w:val="1"/>
    <w:next w:val="1"/>
    <w:autoRedefine/>
    <w:unhideWhenUsed/>
    <w:qFormat/>
    <w:uiPriority w:val="39"/>
    <w:pPr>
      <w:widowControl/>
      <w:spacing w:after="100" w:line="259" w:lineRule="auto"/>
      <w:ind w:left="440"/>
      <w:jc w:val="left"/>
    </w:pPr>
    <w:rPr>
      <w:rFonts w:ascii="Times New Roman" w:hAnsi="Times New Roman" w:eastAsia="宋体" w:cs="Times New Roman"/>
      <w:kern w:val="0"/>
      <w:sz w:val="22"/>
    </w:rPr>
  </w:style>
  <w:style w:type="paragraph" w:styleId="16">
    <w:name w:val="Plain Text"/>
    <w:basedOn w:val="1"/>
    <w:link w:val="44"/>
    <w:autoRedefine/>
    <w:qFormat/>
    <w:uiPriority w:val="99"/>
    <w:rPr>
      <w:rFonts w:ascii="宋体" w:hAnsi="Courier New" w:eastAsia="宋体" w:cs="Times New Roman"/>
      <w:szCs w:val="20"/>
    </w:rPr>
  </w:style>
  <w:style w:type="paragraph" w:styleId="17">
    <w:name w:val="Date"/>
    <w:basedOn w:val="1"/>
    <w:next w:val="1"/>
    <w:link w:val="46"/>
    <w:autoRedefine/>
    <w:unhideWhenUsed/>
    <w:qFormat/>
    <w:uiPriority w:val="99"/>
    <w:pPr>
      <w:ind w:left="100" w:leftChars="2500"/>
    </w:pPr>
  </w:style>
  <w:style w:type="paragraph" w:styleId="18">
    <w:name w:val="Balloon Text"/>
    <w:basedOn w:val="1"/>
    <w:link w:val="45"/>
    <w:autoRedefine/>
    <w:unhideWhenUsed/>
    <w:qFormat/>
    <w:uiPriority w:val="99"/>
    <w:rPr>
      <w:sz w:val="18"/>
      <w:szCs w:val="18"/>
    </w:rPr>
  </w:style>
  <w:style w:type="paragraph" w:styleId="19">
    <w:name w:val="footer"/>
    <w:basedOn w:val="1"/>
    <w:link w:val="37"/>
    <w:autoRedefine/>
    <w:unhideWhenUsed/>
    <w:qFormat/>
    <w:uiPriority w:val="99"/>
    <w:pPr>
      <w:tabs>
        <w:tab w:val="center" w:pos="4153"/>
        <w:tab w:val="right" w:pos="8306"/>
      </w:tabs>
      <w:snapToGrid w:val="0"/>
      <w:jc w:val="left"/>
    </w:pPr>
    <w:rPr>
      <w:sz w:val="18"/>
      <w:szCs w:val="18"/>
    </w:rPr>
  </w:style>
  <w:style w:type="paragraph" w:styleId="20">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unhideWhenUsed/>
    <w:qFormat/>
    <w:uiPriority w:val="39"/>
    <w:pPr>
      <w:widowControl/>
      <w:tabs>
        <w:tab w:val="right" w:leader="dot" w:pos="8777"/>
      </w:tabs>
      <w:spacing w:line="360" w:lineRule="auto"/>
      <w:jc w:val="left"/>
    </w:pPr>
    <w:rPr>
      <w:rFonts w:ascii="Times New Roman" w:hAnsi="Times New Roman" w:eastAsia="黑体" w:cs="Times New Roman"/>
      <w:kern w:val="0"/>
      <w:sz w:val="24"/>
    </w:rPr>
  </w:style>
  <w:style w:type="paragraph" w:styleId="22">
    <w:name w:val="toc 2"/>
    <w:basedOn w:val="1"/>
    <w:next w:val="1"/>
    <w:autoRedefine/>
    <w:unhideWhenUsed/>
    <w:qFormat/>
    <w:uiPriority w:val="39"/>
    <w:pPr>
      <w:widowControl/>
      <w:spacing w:line="360" w:lineRule="auto"/>
      <w:ind w:left="221"/>
      <w:jc w:val="left"/>
    </w:pPr>
    <w:rPr>
      <w:rFonts w:ascii="Times New Roman" w:hAnsi="Times New Roman" w:eastAsia="宋体" w:cs="Times New Roman"/>
      <w:kern w:val="0"/>
      <w:sz w:val="22"/>
    </w:rPr>
  </w:style>
  <w:style w:type="paragraph" w:styleId="23">
    <w:name w:val="HTML Preformatted"/>
    <w:basedOn w:val="1"/>
    <w:link w:val="77"/>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2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link w:val="105"/>
    <w:autoRedefine/>
    <w:qFormat/>
    <w:uiPriority w:val="10"/>
    <w:pPr>
      <w:spacing w:before="240" w:after="60"/>
      <w:jc w:val="center"/>
      <w:outlineLvl w:val="0"/>
    </w:pPr>
    <w:rPr>
      <w:rFonts w:ascii="Arial" w:hAnsi="Arial"/>
      <w:b/>
      <w:sz w:val="32"/>
    </w:rPr>
  </w:style>
  <w:style w:type="paragraph" w:styleId="26">
    <w:name w:val="annotation subject"/>
    <w:basedOn w:val="8"/>
    <w:next w:val="8"/>
    <w:link w:val="55"/>
    <w:autoRedefine/>
    <w:unhideWhenUsed/>
    <w:qFormat/>
    <w:uiPriority w:val="99"/>
    <w:rPr>
      <w:rFonts w:asciiTheme="minorHAnsi" w:hAnsiTheme="minorHAnsi" w:eastAsiaTheme="minorEastAsia" w:cstheme="minorBidi"/>
      <w:b/>
      <w:bCs/>
      <w:szCs w:val="22"/>
    </w:rPr>
  </w:style>
  <w:style w:type="paragraph" w:styleId="27">
    <w:name w:val="Body Text First Indent 2"/>
    <w:basedOn w:val="12"/>
    <w:next w:val="1"/>
    <w:autoRedefine/>
    <w:qFormat/>
    <w:uiPriority w:val="99"/>
    <w:pPr>
      <w:ind w:firstLine="420" w:firstLineChars="200"/>
    </w:pPr>
  </w:style>
  <w:style w:type="table" w:styleId="29">
    <w:name w:val="Table Grid"/>
    <w:basedOn w:val="28"/>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31">
    <w:name w:val="Strong"/>
    <w:autoRedefine/>
    <w:qFormat/>
    <w:uiPriority w:val="22"/>
    <w:rPr>
      <w:b/>
      <w:bCs/>
    </w:rPr>
  </w:style>
  <w:style w:type="character" w:styleId="32">
    <w:name w:val="FollowedHyperlink"/>
    <w:basedOn w:val="30"/>
    <w:autoRedefine/>
    <w:unhideWhenUsed/>
    <w:qFormat/>
    <w:uiPriority w:val="99"/>
    <w:rPr>
      <w:color w:val="333333"/>
      <w:u w:val="none"/>
    </w:rPr>
  </w:style>
  <w:style w:type="character" w:styleId="33">
    <w:name w:val="Emphasis"/>
    <w:basedOn w:val="30"/>
    <w:autoRedefine/>
    <w:qFormat/>
    <w:uiPriority w:val="20"/>
  </w:style>
  <w:style w:type="character" w:styleId="34">
    <w:name w:val="Hyperlink"/>
    <w:basedOn w:val="30"/>
    <w:autoRedefine/>
    <w:unhideWhenUsed/>
    <w:qFormat/>
    <w:uiPriority w:val="99"/>
    <w:rPr>
      <w:color w:val="0563C1" w:themeColor="hyperlink"/>
      <w:u w:val="single"/>
      <w14:textFill>
        <w14:solidFill>
          <w14:schemeClr w14:val="hlink"/>
        </w14:solidFill>
      </w14:textFill>
    </w:rPr>
  </w:style>
  <w:style w:type="character" w:styleId="35">
    <w:name w:val="annotation reference"/>
    <w:basedOn w:val="30"/>
    <w:autoRedefine/>
    <w:qFormat/>
    <w:uiPriority w:val="99"/>
    <w:rPr>
      <w:sz w:val="21"/>
      <w:szCs w:val="21"/>
    </w:rPr>
  </w:style>
  <w:style w:type="character" w:customStyle="1" w:styleId="36">
    <w:name w:val="页眉 Char"/>
    <w:basedOn w:val="30"/>
    <w:link w:val="20"/>
    <w:autoRedefine/>
    <w:qFormat/>
    <w:uiPriority w:val="99"/>
    <w:rPr>
      <w:sz w:val="18"/>
      <w:szCs w:val="18"/>
    </w:rPr>
  </w:style>
  <w:style w:type="character" w:customStyle="1" w:styleId="37">
    <w:name w:val="页脚 Char"/>
    <w:basedOn w:val="30"/>
    <w:link w:val="19"/>
    <w:autoRedefine/>
    <w:qFormat/>
    <w:uiPriority w:val="99"/>
    <w:rPr>
      <w:sz w:val="18"/>
      <w:szCs w:val="18"/>
    </w:rPr>
  </w:style>
  <w:style w:type="character" w:customStyle="1" w:styleId="38">
    <w:name w:val="标题 1 Char"/>
    <w:basedOn w:val="30"/>
    <w:autoRedefine/>
    <w:qFormat/>
    <w:uiPriority w:val="9"/>
    <w:rPr>
      <w:b/>
      <w:bCs/>
      <w:kern w:val="44"/>
      <w:sz w:val="44"/>
      <w:szCs w:val="44"/>
    </w:rPr>
  </w:style>
  <w:style w:type="paragraph" w:customStyle="1" w:styleId="39">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40">
    <w:name w:val="列出段落1"/>
    <w:basedOn w:val="1"/>
    <w:autoRedefine/>
    <w:unhideWhenUsed/>
    <w:qFormat/>
    <w:uiPriority w:val="34"/>
    <w:pPr>
      <w:widowControl/>
      <w:spacing w:before="60" w:after="60"/>
      <w:ind w:firstLine="420" w:firstLineChars="200"/>
      <w:jc w:val="left"/>
    </w:pPr>
    <w:rPr>
      <w:rFonts w:hint="eastAsia" w:ascii="Arial Unicode MS" w:hAnsi="Arial Unicode MS" w:eastAsia="Times New Roman" w:cs="Arial Unicode MS"/>
      <w:color w:val="000000"/>
      <w:kern w:val="0"/>
      <w:sz w:val="20"/>
      <w:szCs w:val="20"/>
      <w:u w:color="000000"/>
      <w:lang w:eastAsia="en-US"/>
    </w:rPr>
  </w:style>
  <w:style w:type="character" w:customStyle="1" w:styleId="41">
    <w:name w:val="正文文本缩进 Char"/>
    <w:basedOn w:val="30"/>
    <w:link w:val="12"/>
    <w:autoRedefine/>
    <w:qFormat/>
    <w:uiPriority w:val="0"/>
    <w:rPr>
      <w:rFonts w:ascii="楷体_GB2312" w:hAnsi="Times New Roman" w:eastAsia="楷体_GB2312" w:cs="Times New Roman"/>
      <w:kern w:val="0"/>
      <w:sz w:val="28"/>
      <w:szCs w:val="20"/>
    </w:rPr>
  </w:style>
  <w:style w:type="paragraph" w:customStyle="1" w:styleId="42">
    <w:name w:val="蓝色显示"/>
    <w:basedOn w:val="1"/>
    <w:link w:val="43"/>
    <w:autoRedefine/>
    <w:qFormat/>
    <w:uiPriority w:val="0"/>
    <w:pPr>
      <w:spacing w:before="340" w:after="330" w:line="400" w:lineRule="exact"/>
    </w:pPr>
    <w:rPr>
      <w:rFonts w:ascii="Times New Roman" w:hAnsi="Times New Roman" w:eastAsia="宋体" w:cs="Times New Roman"/>
      <w:b/>
      <w:color w:val="0070C0"/>
      <w:szCs w:val="24"/>
    </w:rPr>
  </w:style>
  <w:style w:type="character" w:customStyle="1" w:styleId="43">
    <w:name w:val="蓝色显示 Char"/>
    <w:link w:val="42"/>
    <w:autoRedefine/>
    <w:qFormat/>
    <w:uiPriority w:val="0"/>
    <w:rPr>
      <w:rFonts w:ascii="Times New Roman" w:hAnsi="Times New Roman" w:eastAsia="宋体" w:cs="Times New Roman"/>
      <w:b/>
      <w:color w:val="0070C0"/>
      <w:szCs w:val="24"/>
    </w:rPr>
  </w:style>
  <w:style w:type="character" w:customStyle="1" w:styleId="44">
    <w:name w:val="纯文本 Char"/>
    <w:basedOn w:val="30"/>
    <w:link w:val="16"/>
    <w:autoRedefine/>
    <w:qFormat/>
    <w:uiPriority w:val="0"/>
    <w:rPr>
      <w:rFonts w:ascii="宋体" w:hAnsi="Courier New" w:eastAsia="宋体" w:cs="Times New Roman"/>
      <w:szCs w:val="20"/>
    </w:rPr>
  </w:style>
  <w:style w:type="character" w:customStyle="1" w:styleId="45">
    <w:name w:val="批注框文本 Char"/>
    <w:basedOn w:val="30"/>
    <w:link w:val="18"/>
    <w:autoRedefine/>
    <w:semiHidden/>
    <w:qFormat/>
    <w:uiPriority w:val="99"/>
    <w:rPr>
      <w:sz w:val="18"/>
      <w:szCs w:val="18"/>
    </w:rPr>
  </w:style>
  <w:style w:type="character" w:customStyle="1" w:styleId="46">
    <w:name w:val="日期 Char"/>
    <w:basedOn w:val="30"/>
    <w:link w:val="17"/>
    <w:autoRedefine/>
    <w:semiHidden/>
    <w:qFormat/>
    <w:uiPriority w:val="99"/>
  </w:style>
  <w:style w:type="character" w:customStyle="1" w:styleId="47">
    <w:name w:val="批注文字 Char"/>
    <w:basedOn w:val="30"/>
    <w:autoRedefine/>
    <w:qFormat/>
    <w:uiPriority w:val="99"/>
    <w:rPr>
      <w:rFonts w:ascii="Times New Roman" w:hAnsi="Times New Roman" w:eastAsia="宋体" w:cs="Times New Roman"/>
      <w:szCs w:val="20"/>
    </w:rPr>
  </w:style>
  <w:style w:type="character" w:customStyle="1" w:styleId="48">
    <w:name w:val="正文文本 3 Char"/>
    <w:basedOn w:val="30"/>
    <w:link w:val="9"/>
    <w:autoRedefine/>
    <w:qFormat/>
    <w:uiPriority w:val="0"/>
    <w:rPr>
      <w:rFonts w:ascii="Times New Roman" w:hAnsi="Times New Roman" w:eastAsia="宋体" w:cs="Times New Roman"/>
      <w:sz w:val="16"/>
      <w:szCs w:val="16"/>
    </w:rPr>
  </w:style>
  <w:style w:type="paragraph" w:customStyle="1" w:styleId="49">
    <w:name w:val="正文00"/>
    <w:basedOn w:val="1"/>
    <w:autoRedefine/>
    <w:qFormat/>
    <w:uiPriority w:val="0"/>
    <w:pPr>
      <w:topLinePunct/>
      <w:spacing w:line="360" w:lineRule="auto"/>
      <w:ind w:firstLine="200" w:firstLineChars="200"/>
    </w:pPr>
    <w:rPr>
      <w:rFonts w:ascii="Times New Roman" w:hAnsi="Times New Roman" w:eastAsia="宋体" w:cs="Times New Roman"/>
      <w:sz w:val="24"/>
      <w:szCs w:val="21"/>
    </w:rPr>
  </w:style>
  <w:style w:type="paragraph" w:customStyle="1" w:styleId="50">
    <w:name w:val="普通正文"/>
    <w:basedOn w:val="1"/>
    <w:autoRedefine/>
    <w:qFormat/>
    <w:uiPriority w:val="0"/>
    <w:pPr>
      <w:widowControl/>
      <w:adjustRightInd w:val="0"/>
      <w:spacing w:before="120" w:after="120" w:line="360" w:lineRule="auto"/>
      <w:ind w:firstLine="480"/>
      <w:jc w:val="left"/>
      <w:textAlignment w:val="baseline"/>
    </w:pPr>
    <w:rPr>
      <w:rFonts w:ascii="Arial" w:hAnsi="Arial" w:eastAsia="宋体" w:cs="宋体"/>
      <w:kern w:val="0"/>
      <w:sz w:val="24"/>
      <w:szCs w:val="24"/>
    </w:rPr>
  </w:style>
  <w:style w:type="character" w:customStyle="1" w:styleId="51">
    <w:name w:val="正文文本 Char"/>
    <w:basedOn w:val="30"/>
    <w:link w:val="11"/>
    <w:autoRedefine/>
    <w:qFormat/>
    <w:uiPriority w:val="0"/>
  </w:style>
  <w:style w:type="paragraph" w:customStyle="1" w:styleId="52">
    <w:name w:val="Default"/>
    <w:autoRedefine/>
    <w:qFormat/>
    <w:uiPriority w:val="0"/>
    <w:pPr>
      <w:autoSpaceDE w:val="0"/>
      <w:autoSpaceDN w:val="0"/>
      <w:adjustRightInd w:val="0"/>
    </w:pPr>
    <w:rPr>
      <w:rFonts w:ascii="宋体" w:hAnsi="Times New Roman" w:eastAsia="宋体" w:cs="宋体"/>
      <w:color w:val="000000"/>
      <w:sz w:val="24"/>
      <w:szCs w:val="24"/>
      <w:lang w:val="en-US" w:eastAsia="zh-CN" w:bidi="ar-SA"/>
    </w:rPr>
  </w:style>
  <w:style w:type="paragraph" w:customStyle="1" w:styleId="53">
    <w:name w:val="Table Paragraph"/>
    <w:basedOn w:val="1"/>
    <w:autoRedefine/>
    <w:qFormat/>
    <w:uiPriority w:val="1"/>
    <w:pPr>
      <w:autoSpaceDE w:val="0"/>
      <w:autoSpaceDN w:val="0"/>
      <w:adjustRightInd w:val="0"/>
      <w:jc w:val="left"/>
    </w:pPr>
    <w:rPr>
      <w:rFonts w:ascii="Times New Roman" w:hAnsi="Times New Roman" w:eastAsia="宋体" w:cs="Times New Roman"/>
      <w:kern w:val="0"/>
      <w:sz w:val="24"/>
      <w:szCs w:val="24"/>
    </w:rPr>
  </w:style>
  <w:style w:type="paragraph" w:customStyle="1" w:styleId="54">
    <w:name w:val="_Style 20"/>
    <w:basedOn w:val="1"/>
    <w:next w:val="40"/>
    <w:autoRedefine/>
    <w:qFormat/>
    <w:uiPriority w:val="34"/>
    <w:pPr>
      <w:ind w:firstLine="420" w:firstLineChars="200"/>
    </w:pPr>
    <w:rPr>
      <w:rFonts w:ascii="Times New Roman" w:hAnsi="Times New Roman" w:eastAsia="宋体" w:cs="Times New Roman"/>
      <w:szCs w:val="21"/>
    </w:rPr>
  </w:style>
  <w:style w:type="character" w:customStyle="1" w:styleId="55">
    <w:name w:val="批注主题 Char"/>
    <w:basedOn w:val="47"/>
    <w:link w:val="26"/>
    <w:autoRedefine/>
    <w:semiHidden/>
    <w:qFormat/>
    <w:uiPriority w:val="99"/>
    <w:rPr>
      <w:rFonts w:ascii="Times New Roman" w:hAnsi="Times New Roman" w:eastAsia="宋体" w:cs="Times New Roman"/>
      <w:b/>
      <w:bCs/>
      <w:kern w:val="2"/>
      <w:sz w:val="21"/>
      <w:szCs w:val="22"/>
    </w:rPr>
  </w:style>
  <w:style w:type="paragraph" w:customStyle="1" w:styleId="56">
    <w:name w:val="_Style 6"/>
    <w:basedOn w:val="1"/>
    <w:autoRedefine/>
    <w:qFormat/>
    <w:uiPriority w:val="34"/>
    <w:pPr>
      <w:widowControl/>
      <w:ind w:firstLine="420"/>
    </w:pPr>
    <w:rPr>
      <w:rFonts w:ascii="Calibri" w:hAnsi="Calibri"/>
      <w:sz w:val="34"/>
      <w:szCs w:val="21"/>
    </w:rPr>
  </w:style>
  <w:style w:type="paragraph" w:customStyle="1" w:styleId="57">
    <w:name w:val="列出段落11"/>
    <w:basedOn w:val="1"/>
    <w:autoRedefine/>
    <w:qFormat/>
    <w:uiPriority w:val="99"/>
    <w:pPr>
      <w:ind w:left="720"/>
      <w:contextualSpacing/>
    </w:pPr>
    <w:rPr>
      <w:rFonts w:ascii="黑体" w:hAnsi="黑体" w:eastAsia="Arial" w:cs="黑体"/>
      <w:szCs w:val="21"/>
    </w:rPr>
  </w:style>
  <w:style w:type="character" w:customStyle="1" w:styleId="58">
    <w:name w:val="bsharetext"/>
    <w:basedOn w:val="30"/>
    <w:autoRedefine/>
    <w:qFormat/>
    <w:uiPriority w:val="0"/>
  </w:style>
  <w:style w:type="character" w:customStyle="1" w:styleId="59">
    <w:name w:val="active2"/>
    <w:basedOn w:val="30"/>
    <w:autoRedefine/>
    <w:qFormat/>
    <w:uiPriority w:val="0"/>
    <w:rPr>
      <w:shd w:val="clear" w:color="auto" w:fill="0162B1"/>
    </w:rPr>
  </w:style>
  <w:style w:type="character" w:customStyle="1" w:styleId="60">
    <w:name w:val="add3"/>
    <w:basedOn w:val="30"/>
    <w:autoRedefine/>
    <w:qFormat/>
    <w:uiPriority w:val="0"/>
  </w:style>
  <w:style w:type="paragraph" w:styleId="61">
    <w:name w:val="List Paragraph"/>
    <w:basedOn w:val="1"/>
    <w:autoRedefine/>
    <w:qFormat/>
    <w:uiPriority w:val="34"/>
    <w:pPr>
      <w:widowControl/>
      <w:spacing w:before="60" w:after="60"/>
      <w:ind w:firstLine="420" w:firstLineChars="200"/>
      <w:jc w:val="left"/>
    </w:pPr>
    <w:rPr>
      <w:rFonts w:hint="eastAsia" w:ascii="Arial Unicode MS" w:hAnsi="Arial Unicode MS" w:eastAsia="Times New Roman" w:cs="Arial Unicode MS"/>
      <w:color w:val="000000"/>
      <w:kern w:val="0"/>
      <w:sz w:val="20"/>
      <w:szCs w:val="20"/>
      <w:lang w:eastAsia="en-US"/>
    </w:rPr>
  </w:style>
  <w:style w:type="character" w:customStyle="1" w:styleId="62">
    <w:name w:val="fontstyle01"/>
    <w:autoRedefine/>
    <w:qFormat/>
    <w:uiPriority w:val="0"/>
    <w:rPr>
      <w:rFonts w:hint="eastAsia" w:ascii="宋体" w:hAnsi="宋体" w:eastAsia="宋体"/>
      <w:color w:val="000000"/>
      <w:sz w:val="24"/>
      <w:szCs w:val="24"/>
    </w:rPr>
  </w:style>
  <w:style w:type="character" w:customStyle="1" w:styleId="63">
    <w:name w:val="fontstyle21"/>
    <w:autoRedefine/>
    <w:qFormat/>
    <w:uiPriority w:val="0"/>
    <w:rPr>
      <w:rFonts w:hint="default" w:ascii="Times New Roman" w:hAnsi="Times New Roman" w:cs="Times New Roman"/>
      <w:color w:val="000000"/>
      <w:sz w:val="24"/>
      <w:szCs w:val="24"/>
    </w:rPr>
  </w:style>
  <w:style w:type="paragraph" w:customStyle="1" w:styleId="64">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65">
    <w:name w:val="表格中文字（dbapp）"/>
    <w:basedOn w:val="1"/>
    <w:autoRedefine/>
    <w:qFormat/>
    <w:uiPriority w:val="0"/>
    <w:pPr>
      <w:spacing w:before="20" w:beforeLines="20" w:after="20" w:afterLines="20"/>
      <w:jc w:val="left"/>
    </w:pPr>
    <w:rPr>
      <w:rFonts w:ascii="方正兰亭黑简体" w:hAnsi="方正兰亭黑简体" w:eastAsia="方正兰亭黑简体"/>
      <w:kern w:val="0"/>
      <w:szCs w:val="21"/>
    </w:rPr>
  </w:style>
  <w:style w:type="paragraph" w:customStyle="1" w:styleId="66">
    <w:name w:val="msolistparagraph"/>
    <w:basedOn w:val="1"/>
    <w:autoRedefine/>
    <w:qFormat/>
    <w:uiPriority w:val="0"/>
    <w:pPr>
      <w:ind w:firstLine="420" w:firstLineChars="200"/>
    </w:pPr>
    <w:rPr>
      <w:rFonts w:ascii="Calibri" w:hAnsi="Calibri" w:eastAsia="宋体" w:cs="Times New Roman"/>
    </w:rPr>
  </w:style>
  <w:style w:type="character" w:customStyle="1" w:styleId="67">
    <w:name w:val="标题 3 Char"/>
    <w:basedOn w:val="30"/>
    <w:link w:val="4"/>
    <w:autoRedefine/>
    <w:qFormat/>
    <w:uiPriority w:val="0"/>
    <w:rPr>
      <w:b/>
      <w:bCs/>
      <w:kern w:val="2"/>
      <w:sz w:val="32"/>
      <w:szCs w:val="32"/>
    </w:rPr>
  </w:style>
  <w:style w:type="character" w:customStyle="1" w:styleId="68">
    <w:name w:val="标题 1 Char1"/>
    <w:basedOn w:val="30"/>
    <w:link w:val="2"/>
    <w:autoRedefine/>
    <w:qFormat/>
    <w:uiPriority w:val="0"/>
    <w:rPr>
      <w:b/>
      <w:bCs/>
      <w:kern w:val="44"/>
      <w:sz w:val="32"/>
      <w:szCs w:val="44"/>
    </w:rPr>
  </w:style>
  <w:style w:type="character" w:customStyle="1" w:styleId="69">
    <w:name w:val="标题 2 字符1"/>
    <w:basedOn w:val="30"/>
    <w:autoRedefine/>
    <w:qFormat/>
    <w:uiPriority w:val="0"/>
    <w:rPr>
      <w:rFonts w:hint="default" w:ascii="Cambria" w:hAnsi="Cambria" w:eastAsia="Cambria" w:cs="Cambria"/>
      <w:b/>
      <w:bCs/>
      <w:kern w:val="2"/>
      <w:sz w:val="32"/>
      <w:szCs w:val="32"/>
    </w:rPr>
  </w:style>
  <w:style w:type="character" w:customStyle="1" w:styleId="70">
    <w:name w:val="批注文字 字符1"/>
    <w:basedOn w:val="30"/>
    <w:autoRedefine/>
    <w:qFormat/>
    <w:uiPriority w:val="0"/>
    <w:rPr>
      <w:kern w:val="2"/>
      <w:sz w:val="21"/>
      <w:szCs w:val="24"/>
    </w:rPr>
  </w:style>
  <w:style w:type="character" w:customStyle="1" w:styleId="71">
    <w:name w:val="批注文字 Char1"/>
    <w:basedOn w:val="30"/>
    <w:link w:val="8"/>
    <w:autoRedefine/>
    <w:qFormat/>
    <w:uiPriority w:val="0"/>
    <w:rPr>
      <w:kern w:val="2"/>
      <w:sz w:val="21"/>
      <w:szCs w:val="24"/>
    </w:rPr>
  </w:style>
  <w:style w:type="paragraph" w:customStyle="1" w:styleId="72">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73">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74">
    <w:name w:val="修订3"/>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75">
    <w:name w:val="修订4"/>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76">
    <w:name w:val="修订5"/>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77">
    <w:name w:val="HTML 预设格式 Char"/>
    <w:basedOn w:val="30"/>
    <w:link w:val="23"/>
    <w:autoRedefine/>
    <w:qFormat/>
    <w:uiPriority w:val="0"/>
    <w:rPr>
      <w:rFonts w:hint="eastAsia" w:ascii="宋体" w:hAnsi="宋体" w:eastAsia="宋体" w:cs="宋体"/>
      <w:kern w:val="0"/>
      <w:sz w:val="24"/>
      <w:szCs w:val="24"/>
    </w:rPr>
  </w:style>
  <w:style w:type="paragraph" w:customStyle="1" w:styleId="78">
    <w:name w:val="修订6"/>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79">
    <w:name w:val="修订7"/>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0">
    <w:name w:val="修订8"/>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1">
    <w:name w:val="修订9"/>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2">
    <w:name w:val="修订10"/>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3">
    <w:name w:val="修订1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84">
    <w:name w:val="_正文段落 Char Char"/>
    <w:basedOn w:val="30"/>
    <w:autoRedefine/>
    <w:qFormat/>
    <w:uiPriority w:val="0"/>
    <w:rPr>
      <w:kern w:val="2"/>
      <w:sz w:val="24"/>
      <w:szCs w:val="24"/>
    </w:rPr>
  </w:style>
  <w:style w:type="paragraph" w:customStyle="1" w:styleId="85">
    <w:name w:val="正文段落样式"/>
    <w:basedOn w:val="1"/>
    <w:link w:val="87"/>
    <w:autoRedefine/>
    <w:qFormat/>
    <w:uiPriority w:val="0"/>
    <w:pPr>
      <w:spacing w:line="360" w:lineRule="auto"/>
      <w:ind w:firstLine="420"/>
      <w:jc w:val="left"/>
    </w:pPr>
    <w:rPr>
      <w:rFonts w:hint="eastAsia" w:ascii="等线" w:hAnsi="等线" w:eastAsia="等线" w:cs="Times New Roman"/>
      <w:sz w:val="24"/>
      <w:szCs w:val="21"/>
    </w:rPr>
  </w:style>
  <w:style w:type="character" w:customStyle="1" w:styleId="86">
    <w:name w:val="列表段落 字符"/>
    <w:basedOn w:val="30"/>
    <w:autoRedefine/>
    <w:qFormat/>
    <w:uiPriority w:val="0"/>
    <w:rPr>
      <w:rFonts w:hint="eastAsia" w:ascii="Arial Unicode MS" w:hAnsi="Arial Unicode MS" w:eastAsia="等线" w:cs="Arial Unicode MS"/>
      <w:color w:val="000000"/>
      <w:lang w:eastAsia="en-US"/>
    </w:rPr>
  </w:style>
  <w:style w:type="character" w:customStyle="1" w:styleId="87">
    <w:name w:val="正文段落样式 Char"/>
    <w:basedOn w:val="30"/>
    <w:link w:val="85"/>
    <w:autoRedefine/>
    <w:qFormat/>
    <w:uiPriority w:val="0"/>
    <w:rPr>
      <w:rFonts w:hint="eastAsia" w:ascii="等线" w:hAnsi="等线" w:eastAsia="等线" w:cs="Times New Roman"/>
      <w:kern w:val="2"/>
      <w:sz w:val="24"/>
      <w:szCs w:val="21"/>
    </w:rPr>
  </w:style>
  <w:style w:type="paragraph" w:customStyle="1" w:styleId="88">
    <w:name w:val="修订1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89">
    <w:name w:val="修订13"/>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90">
    <w:name w:val="标题 6 字符"/>
    <w:basedOn w:val="30"/>
    <w:autoRedefine/>
    <w:qFormat/>
    <w:uiPriority w:val="0"/>
    <w:rPr>
      <w:rFonts w:ascii="Arial" w:hAnsi="Arial" w:eastAsia="黑体" w:cs="Times New Roman"/>
      <w:sz w:val="22"/>
      <w:szCs w:val="20"/>
    </w:rPr>
  </w:style>
  <w:style w:type="character" w:customStyle="1" w:styleId="91">
    <w:name w:val="文档正文 Char"/>
    <w:basedOn w:val="30"/>
    <w:autoRedefine/>
    <w:qFormat/>
    <w:uiPriority w:val="0"/>
    <w:rPr>
      <w:rFonts w:hint="default" w:ascii="Times New Roman" w:hAnsi="Times New Roman" w:eastAsia="宋体" w:cs="Times New Roman"/>
      <w:sz w:val="22"/>
      <w:szCs w:val="20"/>
    </w:rPr>
  </w:style>
  <w:style w:type="character" w:customStyle="1" w:styleId="92">
    <w:name w:val="标题 5 字符"/>
    <w:basedOn w:val="30"/>
    <w:autoRedefine/>
    <w:qFormat/>
    <w:uiPriority w:val="0"/>
    <w:rPr>
      <w:rFonts w:hint="default" w:ascii="Times New Roman" w:hAnsi="Times New Roman" w:eastAsia="宋体" w:cs="Times New Roman"/>
      <w:sz w:val="28"/>
      <w:szCs w:val="20"/>
    </w:rPr>
  </w:style>
  <w:style w:type="character" w:customStyle="1" w:styleId="93">
    <w:name w:val="正文(首行缩进) Char"/>
    <w:basedOn w:val="30"/>
    <w:link w:val="94"/>
    <w:autoRedefine/>
    <w:qFormat/>
    <w:uiPriority w:val="0"/>
    <w:rPr>
      <w:rFonts w:hint="default" w:ascii="Times New Roman" w:hAnsi="Times New Roman" w:eastAsia="宋体" w:cs="Times New Roman"/>
      <w:sz w:val="24"/>
      <w:szCs w:val="24"/>
    </w:rPr>
  </w:style>
  <w:style w:type="paragraph" w:customStyle="1" w:styleId="94">
    <w:name w:val="正文(首行缩进)"/>
    <w:basedOn w:val="1"/>
    <w:next w:val="1"/>
    <w:link w:val="93"/>
    <w:autoRedefine/>
    <w:qFormat/>
    <w:uiPriority w:val="0"/>
    <w:pPr>
      <w:spacing w:line="360" w:lineRule="auto"/>
      <w:ind w:firstLine="480" w:firstLineChars="200"/>
    </w:pPr>
    <w:rPr>
      <w:rFonts w:ascii="Times New Roman" w:hAnsi="Times New Roman" w:eastAsia="宋体" w:cs="Times New Roman"/>
      <w:sz w:val="24"/>
      <w:szCs w:val="24"/>
    </w:rPr>
  </w:style>
  <w:style w:type="character" w:customStyle="1" w:styleId="95">
    <w:name w:val="标题 4 字符"/>
    <w:basedOn w:val="30"/>
    <w:autoRedefine/>
    <w:qFormat/>
    <w:uiPriority w:val="0"/>
    <w:rPr>
      <w:rFonts w:hint="eastAsia" w:ascii="宋体" w:hAnsi="宋体" w:eastAsia="宋体" w:cs="Times New Roman"/>
      <w:b/>
      <w:sz w:val="24"/>
      <w:szCs w:val="24"/>
    </w:rPr>
  </w:style>
  <w:style w:type="paragraph" w:customStyle="1" w:styleId="96">
    <w:name w:val="表格内容"/>
    <w:basedOn w:val="1"/>
    <w:autoRedefine/>
    <w:qFormat/>
    <w:uiPriority w:val="0"/>
    <w:pPr>
      <w:spacing w:before="156" w:beforeLines="50" w:after="156" w:afterLines="50" w:line="300" w:lineRule="auto"/>
      <w:ind w:left="420" w:leftChars="200"/>
    </w:pPr>
    <w:rPr>
      <w:rFonts w:ascii="Times New Roman" w:hAnsi="Times New Roman" w:eastAsia="宋体" w:cs="Times New Roman"/>
      <w:sz w:val="18"/>
      <w:szCs w:val="24"/>
    </w:rPr>
  </w:style>
  <w:style w:type="character" w:customStyle="1" w:styleId="97">
    <w:name w:val="标题 3 字符"/>
    <w:basedOn w:val="30"/>
    <w:autoRedefine/>
    <w:qFormat/>
    <w:uiPriority w:val="0"/>
    <w:rPr>
      <w:rFonts w:hint="eastAsia" w:ascii="宋体" w:hAnsi="宋体" w:eastAsia="宋体" w:cs="Times New Roman"/>
      <w:b/>
      <w:bCs/>
      <w:sz w:val="24"/>
      <w:szCs w:val="24"/>
    </w:rPr>
  </w:style>
  <w:style w:type="character" w:customStyle="1" w:styleId="98">
    <w:name w:val="标题 1 字符"/>
    <w:basedOn w:val="30"/>
    <w:autoRedefine/>
    <w:qFormat/>
    <w:uiPriority w:val="0"/>
    <w:rPr>
      <w:rFonts w:hint="eastAsia" w:ascii="宋体" w:hAnsi="宋体" w:eastAsia="宋体" w:cs="Times New Roman"/>
      <w:b/>
      <w:bCs/>
      <w:kern w:val="44"/>
      <w:sz w:val="36"/>
      <w:szCs w:val="36"/>
    </w:rPr>
  </w:style>
  <w:style w:type="character" w:customStyle="1" w:styleId="99">
    <w:name w:val="标题 9 字符"/>
    <w:basedOn w:val="30"/>
    <w:autoRedefine/>
    <w:qFormat/>
    <w:uiPriority w:val="0"/>
    <w:rPr>
      <w:rFonts w:hint="default" w:ascii="Arial" w:hAnsi="Arial" w:eastAsia="黑体" w:cs="Times New Roman"/>
      <w:sz w:val="22"/>
      <w:szCs w:val="20"/>
    </w:rPr>
  </w:style>
  <w:style w:type="character" w:customStyle="1" w:styleId="100">
    <w:name w:val="标题 8 字符"/>
    <w:basedOn w:val="30"/>
    <w:autoRedefine/>
    <w:qFormat/>
    <w:uiPriority w:val="0"/>
    <w:rPr>
      <w:rFonts w:hint="default" w:ascii="Arial" w:hAnsi="Arial" w:eastAsia="黑体" w:cs="Times New Roman"/>
      <w:sz w:val="22"/>
      <w:szCs w:val="20"/>
    </w:rPr>
  </w:style>
  <w:style w:type="character" w:customStyle="1" w:styleId="101">
    <w:name w:val="[正文行首缩进] Char"/>
    <w:basedOn w:val="30"/>
    <w:link w:val="102"/>
    <w:autoRedefine/>
    <w:qFormat/>
    <w:uiPriority w:val="0"/>
    <w:rPr>
      <w:rFonts w:hint="eastAsia" w:ascii="宋体" w:hAnsi="宋体" w:eastAsia="宋体" w:cs="宋体"/>
      <w:color w:val="000000"/>
      <w:sz w:val="24"/>
      <w:szCs w:val="24"/>
    </w:rPr>
  </w:style>
  <w:style w:type="paragraph" w:customStyle="1" w:styleId="102">
    <w:name w:val="[正文行首缩进]"/>
    <w:basedOn w:val="1"/>
    <w:link w:val="101"/>
    <w:autoRedefine/>
    <w:qFormat/>
    <w:uiPriority w:val="0"/>
    <w:pPr>
      <w:spacing w:line="360" w:lineRule="auto"/>
      <w:jc w:val="center"/>
    </w:pPr>
    <w:rPr>
      <w:rFonts w:hint="eastAsia" w:ascii="宋体" w:hAnsi="等线" w:eastAsia="等线" w:cs="Times New Roman"/>
      <w:color w:val="000000"/>
      <w:sz w:val="24"/>
      <w:szCs w:val="24"/>
    </w:rPr>
  </w:style>
  <w:style w:type="character" w:customStyle="1" w:styleId="103">
    <w:name w:val="正文缩进 字符"/>
    <w:basedOn w:val="30"/>
    <w:autoRedefine/>
    <w:qFormat/>
    <w:uiPriority w:val="0"/>
    <w:rPr>
      <w:sz w:val="24"/>
    </w:rPr>
  </w:style>
  <w:style w:type="character" w:customStyle="1" w:styleId="104">
    <w:name w:val="文档结构图 Char"/>
    <w:basedOn w:val="30"/>
    <w:link w:val="7"/>
    <w:autoRedefine/>
    <w:qFormat/>
    <w:uiPriority w:val="0"/>
    <w:rPr>
      <w:rFonts w:hint="eastAsia" w:ascii="Microsoft YaHei UI" w:hAnsi="Microsoft YaHei UI" w:eastAsia="Microsoft YaHei UI" w:cs="Microsoft YaHei UI"/>
      <w:sz w:val="18"/>
      <w:szCs w:val="18"/>
    </w:rPr>
  </w:style>
  <w:style w:type="character" w:customStyle="1" w:styleId="105">
    <w:name w:val="标题 Char"/>
    <w:basedOn w:val="30"/>
    <w:link w:val="25"/>
    <w:autoRedefine/>
    <w:qFormat/>
    <w:uiPriority w:val="0"/>
    <w:rPr>
      <w:rFonts w:ascii="等线 Light" w:hAnsi="等线 Light" w:eastAsia="等线 Light" w:cs="Times New Roman"/>
      <w:b/>
      <w:bCs/>
      <w:sz w:val="32"/>
      <w:szCs w:val="32"/>
    </w:rPr>
  </w:style>
  <w:style w:type="character" w:customStyle="1" w:styleId="106">
    <w:name w:val="标题 2 字符"/>
    <w:basedOn w:val="30"/>
    <w:autoRedefine/>
    <w:qFormat/>
    <w:uiPriority w:val="0"/>
    <w:rPr>
      <w:rFonts w:hint="eastAsia" w:ascii="宋体" w:hAnsi="宋体" w:eastAsia="宋体" w:cs="Times New Roman"/>
      <w:b/>
      <w:bCs/>
      <w:sz w:val="28"/>
      <w:szCs w:val="32"/>
    </w:rPr>
  </w:style>
  <w:style w:type="character" w:customStyle="1" w:styleId="107">
    <w:name w:val="标题 7 字符"/>
    <w:basedOn w:val="30"/>
    <w:autoRedefine/>
    <w:qFormat/>
    <w:uiPriority w:val="0"/>
    <w:rPr>
      <w:rFonts w:hint="default" w:ascii="Times New Roman" w:hAnsi="Times New Roman" w:eastAsia="宋体" w:cs="Times New Roman"/>
      <w:b/>
      <w:sz w:val="22"/>
      <w:szCs w:val="20"/>
    </w:rPr>
  </w:style>
  <w:style w:type="paragraph" w:customStyle="1" w:styleId="108">
    <w:name w:val="表格标题"/>
    <w:basedOn w:val="1"/>
    <w:autoRedefine/>
    <w:qFormat/>
    <w:uiPriority w:val="0"/>
    <w:pPr>
      <w:spacing w:before="62" w:after="62" w:line="360" w:lineRule="auto"/>
      <w:jc w:val="center"/>
    </w:pPr>
    <w:rPr>
      <w:rFonts w:hint="eastAsia" w:ascii="宋体" w:hAnsi="宋体" w:eastAsia="宋体" w:cs="Times New Roman"/>
      <w:b/>
      <w:bCs/>
      <w:szCs w:val="20"/>
    </w:rPr>
  </w:style>
  <w:style w:type="table" w:customStyle="1" w:styleId="109">
    <w:name w:val="Table Normal"/>
    <w:basedOn w:val="28"/>
    <w:autoRedefine/>
    <w:semiHidden/>
    <w:qFormat/>
    <w:uiPriority w:val="0"/>
    <w:pPr>
      <w:widowControl w:val="0"/>
      <w:autoSpaceDE w:val="0"/>
      <w:autoSpaceDN w:val="0"/>
    </w:pPr>
    <w:rPr>
      <w:rFonts w:hint="eastAsia"/>
      <w:sz w:val="22"/>
      <w:szCs w:val="22"/>
      <w:lang w:eastAsia="en-US"/>
    </w:rPr>
    <w:tblPr>
      <w:tblCellMar>
        <w:top w:w="0" w:type="dxa"/>
        <w:left w:w="0" w:type="dxa"/>
        <w:bottom w:w="0" w:type="dxa"/>
        <w:right w:w="0" w:type="dxa"/>
      </w:tblCellMar>
    </w:tblPr>
  </w:style>
  <w:style w:type="paragraph" w:customStyle="1" w:styleId="110">
    <w:name w:val="修订14"/>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11">
    <w:name w:val="正文文本首行缩进 字符"/>
    <w:autoRedefine/>
    <w:qFormat/>
    <w:uiPriority w:val="0"/>
    <w:rPr>
      <w:rFonts w:hint="default" w:ascii="Calibri" w:hAnsi="Calibri" w:eastAsia="宋体" w:cs="Times New Roman"/>
      <w:kern w:val="2"/>
      <w:sz w:val="21"/>
      <w:szCs w:val="22"/>
    </w:rPr>
  </w:style>
  <w:style w:type="paragraph" w:customStyle="1" w:styleId="112">
    <w:name w:val="表正文"/>
    <w:basedOn w:val="1"/>
    <w:autoRedefine/>
    <w:qFormat/>
    <w:uiPriority w:val="0"/>
    <w:rPr>
      <w:rFonts w:hint="eastAsia" w:ascii="等线" w:hAnsi="等线" w:eastAsia="宋体" w:cs="Times New Roman"/>
      <w:sz w:val="18"/>
    </w:rPr>
  </w:style>
  <w:style w:type="paragraph" w:customStyle="1" w:styleId="113">
    <w:name w:val="修订15"/>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14">
    <w:name w:val="列出段落 Char"/>
    <w:basedOn w:val="30"/>
    <w:autoRedefine/>
    <w:qFormat/>
    <w:uiPriority w:val="0"/>
    <w:rPr>
      <w:rFonts w:hint="eastAsia" w:ascii="Arial Unicode MS" w:hAnsi="Arial Unicode MS" w:eastAsia="Arial Unicode MS" w:cs="Arial Unicode MS"/>
      <w:color w:val="000000"/>
      <w:kern w:val="0"/>
      <w:sz w:val="20"/>
      <w:szCs w:val="20"/>
      <w:lang w:eastAsia="en-US"/>
    </w:rPr>
  </w:style>
  <w:style w:type="character" w:customStyle="1" w:styleId="115">
    <w:name w:val="标题 2 字符2"/>
    <w:basedOn w:val="30"/>
    <w:autoRedefine/>
    <w:qFormat/>
    <w:uiPriority w:val="0"/>
    <w:rPr>
      <w:rFonts w:hint="default" w:ascii="Arial" w:hAnsi="Arial" w:eastAsia="黑体" w:cs="Arial"/>
      <w:b/>
      <w:bCs/>
      <w:sz w:val="32"/>
      <w:szCs w:val="32"/>
    </w:rPr>
  </w:style>
  <w:style w:type="paragraph" w:customStyle="1" w:styleId="116">
    <w:name w:val="修订16"/>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17">
    <w:name w:val="修订17"/>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18">
    <w:name w:val="标题 2 Char"/>
    <w:basedOn w:val="30"/>
    <w:link w:val="3"/>
    <w:autoRedefine/>
    <w:qFormat/>
    <w:uiPriority w:val="0"/>
    <w:rPr>
      <w:rFonts w:hint="default" w:ascii="Arial" w:hAnsi="Arial" w:eastAsia="黑体" w:cs="Arial"/>
      <w:b/>
      <w:bCs/>
      <w:sz w:val="32"/>
      <w:szCs w:val="32"/>
    </w:rPr>
  </w:style>
  <w:style w:type="character" w:customStyle="1" w:styleId="119">
    <w:name w:val="列出段落 Char1"/>
    <w:basedOn w:val="30"/>
    <w:autoRedefine/>
    <w:qFormat/>
    <w:uiPriority w:val="0"/>
    <w:rPr>
      <w:rFonts w:hint="eastAsia" w:ascii="Arial Unicode MS" w:hAnsi="Arial Unicode MS" w:eastAsia="Arial Unicode MS" w:cs="Arial Unicode MS"/>
      <w:color w:val="000000"/>
      <w:kern w:val="0"/>
      <w:sz w:val="20"/>
      <w:szCs w:val="20"/>
      <w:lang w:eastAsia="en-US"/>
    </w:rPr>
  </w:style>
  <w:style w:type="paragraph" w:customStyle="1" w:styleId="120">
    <w:name w:val="修订18"/>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21">
    <w:name w:val="修订19"/>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22">
    <w:name w:val="Table Text"/>
    <w:basedOn w:val="1"/>
    <w:autoRedefine/>
    <w:hidden/>
    <w:qFormat/>
    <w:uiPriority w:val="0"/>
    <w:pPr>
      <w:widowControl/>
      <w:kinsoku w:val="0"/>
      <w:autoSpaceDE w:val="0"/>
      <w:autoSpaceDN w:val="0"/>
      <w:adjustRightInd w:val="0"/>
      <w:snapToGrid w:val="0"/>
      <w:jc w:val="left"/>
    </w:pPr>
    <w:rPr>
      <w:rFonts w:hint="eastAsia" w:ascii="宋体" w:hAnsi="宋体" w:eastAsia="宋体" w:cs="Times New Roman"/>
      <w:color w:val="000000"/>
      <w:kern w:val="0"/>
      <w:szCs w:val="21"/>
    </w:rPr>
  </w:style>
  <w:style w:type="paragraph" w:customStyle="1" w:styleId="123">
    <w:name w:val="修订20"/>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24">
    <w:name w:val="修订2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25">
    <w:name w:val="纯文本 字符1"/>
    <w:basedOn w:val="30"/>
    <w:qFormat/>
    <w:uiPriority w:val="0"/>
    <w:rPr>
      <w:rFonts w:hint="eastAsia" w:ascii="宋体" w:hAnsi="Courier New" w:eastAsia="宋体" w:cs="Courier New"/>
      <w:szCs w:val="24"/>
    </w:rPr>
  </w:style>
  <w:style w:type="paragraph" w:customStyle="1" w:styleId="126">
    <w:name w:val="修订2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27">
    <w:name w:val="段"/>
    <w:basedOn w:val="1"/>
    <w:next w:val="1"/>
    <w:qFormat/>
    <w:uiPriority w:val="0"/>
    <w:pPr>
      <w:widowControl/>
      <w:autoSpaceDE w:val="0"/>
      <w:autoSpaceDN w:val="0"/>
      <w:adjustRightInd w:val="0"/>
      <w:snapToGrid w:val="0"/>
      <w:spacing w:line="360" w:lineRule="auto"/>
      <w:ind w:firstLine="200" w:firstLineChars="200"/>
    </w:pPr>
    <w:rPr>
      <w:rFonts w:hint="eastAsia" w:ascii="宋体" w:hAnsi="Times New Roman" w:eastAsia="宋体" w:cs="Times New Roman"/>
      <w:kern w:val="0"/>
      <w:sz w:val="24"/>
    </w:rPr>
  </w:style>
  <w:style w:type="paragraph" w:customStyle="1" w:styleId="128">
    <w:name w:val="修订2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29">
    <w:name w:val="修订2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30">
    <w:name w:val="修订2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31">
    <w:name w:val="修订26"/>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32">
    <w:name w:val="正文文本首行缩进 2 字符"/>
    <w:qFormat/>
    <w:uiPriority w:val="0"/>
    <w:rPr>
      <w:kern w:val="2"/>
      <w:sz w:val="21"/>
      <w:szCs w:val="24"/>
    </w:rPr>
  </w:style>
  <w:style w:type="paragraph" w:customStyle="1" w:styleId="133">
    <w:name w:val="qq正文"/>
    <w:basedOn w:val="1"/>
    <w:qFormat/>
    <w:uiPriority w:val="0"/>
    <w:pPr>
      <w:snapToGrid w:val="0"/>
      <w:spacing w:line="360" w:lineRule="auto"/>
      <w:ind w:firstLine="200" w:firstLineChars="200"/>
    </w:pPr>
    <w:rPr>
      <w:rFonts w:ascii="Times New Roman" w:hAnsi="Times New Roman" w:eastAsia="宋体" w:cs="Times New Roman"/>
      <w:sz w:val="24"/>
      <w:szCs w:val="24"/>
    </w:rPr>
  </w:style>
  <w:style w:type="paragraph" w:customStyle="1" w:styleId="134">
    <w:name w:val="修订27"/>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35">
    <w:name w:val="修订28"/>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36">
    <w:name w:val="修订29"/>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37">
    <w:name w:val="修订30"/>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38">
    <w:name w:val="修订3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39">
    <w:name w:val="p1"/>
    <w:basedOn w:val="1"/>
    <w:qFormat/>
    <w:uiPriority w:val="0"/>
    <w:pPr>
      <w:jc w:val="left"/>
    </w:pPr>
    <w:rPr>
      <w:rFonts w:ascii="Helvetica" w:hAnsi="Helvetica" w:eastAsia="Helvetica" w:cs="Times New Roman"/>
      <w:color w:val="000000"/>
      <w:kern w:val="0"/>
      <w:sz w:val="24"/>
      <w:szCs w:val="24"/>
    </w:rPr>
  </w:style>
  <w:style w:type="paragraph" w:customStyle="1" w:styleId="140">
    <w:name w:val="索引 41"/>
    <w:basedOn w:val="1"/>
    <w:next w:val="1"/>
    <w:semiHidden/>
    <w:qFormat/>
    <w:uiPriority w:val="0"/>
    <w:pPr>
      <w:ind w:left="1260"/>
    </w:pPr>
    <w:rPr>
      <w:rFonts w:ascii="Calibri" w:hAnsi="Calibri" w:eastAsia="Calibri" w:cs="宋体"/>
      <w:sz w:val="20"/>
      <w:lang w:val="zh-CN"/>
    </w:rPr>
  </w:style>
  <w:style w:type="paragraph" w:customStyle="1" w:styleId="141">
    <w:name w:val="列表段落1"/>
    <w:basedOn w:val="1"/>
    <w:qFormat/>
    <w:uiPriority w:val="99"/>
    <w:pPr>
      <w:ind w:firstLine="420" w:firstLineChars="200"/>
    </w:pPr>
    <w:rPr>
      <w:szCs w:val="20"/>
    </w:rPr>
  </w:style>
  <w:style w:type="paragraph" w:customStyle="1" w:styleId="142">
    <w:name w:val="修订3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3">
    <w:name w:val="修订3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4">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5">
    <w:name w:val="首行缩进"/>
    <w:basedOn w:val="1"/>
    <w:qFormat/>
    <w:uiPriority w:val="0"/>
    <w:pPr>
      <w:ind w:firstLine="48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16123</Words>
  <Characters>16995</Characters>
  <Lines>208</Lines>
  <Paragraphs>58</Paragraphs>
  <TotalTime>20</TotalTime>
  <ScaleCrop>false</ScaleCrop>
  <LinksUpToDate>false</LinksUpToDate>
  <CharactersWithSpaces>17301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2025-08-21T01:15:00Z</dcterms:created>
  <dc:creator>ibm</dc:creator>
  <cp:lastModifiedBy>stanly</cp:lastModifiedBy>
  <cp:lastPrinted>2023-10-20T22:06:00Z</cp:lastPrinted>
  <dcterms:modified xsi:type="dcterms:W3CDTF">2026-05-13T05:34:12Z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9A92990CD40543759DAB6F1B233E1A9B_13</vt:lpwstr>
  </property>
  <property fmtid="{D5CDD505-2E9C-101B-9397-08002B2CF9AE}" pid="4" name="KSOTemplateDocerSaveRecord">
    <vt:lpwstr>eyJoZGlkIjoiNTE3ODBhODAwYWZlYmM2Zjk2MjA5ZjdiYTk1Y2U0OTQiLCJ1c2VySWQiOiI5NTc1NDY5NDYifQ==</vt:lpwstr>
  </property>
</Properties>
</file>